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D711" w14:textId="77777777" w:rsidR="007109A7" w:rsidRDefault="0033690D" w:rsidP="0033690D">
      <w:pPr>
        <w:jc w:val="right"/>
      </w:pPr>
      <w:r>
        <w:rPr>
          <w:rFonts w:cs="Arial"/>
          <w:noProof/>
          <w:szCs w:val="24"/>
          <w:lang w:eastAsia="en-GB"/>
        </w:rPr>
        <w:drawing>
          <wp:inline distT="0" distB="0" distL="0" distR="0" wp14:anchorId="4B33D870" wp14:editId="4B33D871">
            <wp:extent cx="191217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ool Teaching Hospitals NHS Foundation Trust RGB BLUE.jpg"/>
                    <pic:cNvPicPr/>
                  </pic:nvPicPr>
                  <pic:blipFill rotWithShape="1">
                    <a:blip r:embed="rId11" cstate="print">
                      <a:extLst>
                        <a:ext uri="{28A0092B-C50C-407E-A947-70E740481C1C}">
                          <a14:useLocalDpi xmlns:a14="http://schemas.microsoft.com/office/drawing/2010/main" val="0"/>
                        </a:ext>
                      </a:extLst>
                    </a:blip>
                    <a:srcRect l="35065" t="15447" r="7223" b="15448"/>
                    <a:stretch/>
                  </pic:blipFill>
                  <pic:spPr bwMode="auto">
                    <a:xfrm>
                      <a:off x="0" y="0"/>
                      <a:ext cx="1913731" cy="1029539"/>
                    </a:xfrm>
                    <a:prstGeom prst="rect">
                      <a:avLst/>
                    </a:prstGeom>
                    <a:ln>
                      <a:noFill/>
                    </a:ln>
                    <a:extLst>
                      <a:ext uri="{53640926-AAD7-44D8-BBD7-CCE9431645EC}">
                        <a14:shadowObscured xmlns:a14="http://schemas.microsoft.com/office/drawing/2010/main"/>
                      </a:ext>
                    </a:extLst>
                  </pic:spPr>
                </pic:pic>
              </a:graphicData>
            </a:graphic>
          </wp:inline>
        </w:drawing>
      </w:r>
    </w:p>
    <w:p w14:paraId="4B33D712" w14:textId="77777777" w:rsidR="007109A7" w:rsidRDefault="007109A7" w:rsidP="007B738D"/>
    <w:p w14:paraId="4B33D713" w14:textId="330A2BEC" w:rsidR="007B738D" w:rsidRPr="007B738D" w:rsidRDefault="002E006F" w:rsidP="002E006F">
      <w:pPr>
        <w:rPr>
          <w:sz w:val="48"/>
          <w:szCs w:val="48"/>
        </w:rPr>
      </w:pPr>
      <w:r w:rsidRPr="002E006F">
        <w:rPr>
          <w:rStyle w:val="Strong"/>
          <w:sz w:val="48"/>
          <w:szCs w:val="48"/>
        </w:rPr>
        <w:t>Prevention of Venous Thromboembolism (VTE) in Medical Surgical Patients</w:t>
      </w:r>
      <w:r>
        <w:rPr>
          <w:rStyle w:val="Strong"/>
          <w:sz w:val="48"/>
          <w:szCs w:val="48"/>
        </w:rPr>
        <w:br/>
      </w:r>
      <w:r w:rsidRPr="002E006F">
        <w:rPr>
          <w:rStyle w:val="Strong"/>
          <w:sz w:val="48"/>
          <w:szCs w:val="48"/>
        </w:rPr>
        <w:t>(16 years +) and those requiring lower limb plaster casts / immobilisations</w:t>
      </w:r>
    </w:p>
    <w:p w14:paraId="4B33D714" w14:textId="77777777" w:rsidR="007B738D" w:rsidRDefault="007B738D" w:rsidP="007B738D"/>
    <w:tbl>
      <w:tblPr>
        <w:tblStyle w:val="TableGrid"/>
        <w:tblW w:w="0" w:type="auto"/>
        <w:tblLook w:val="04A0" w:firstRow="1" w:lastRow="0" w:firstColumn="1" w:lastColumn="0" w:noHBand="0" w:noVBand="1"/>
      </w:tblPr>
      <w:tblGrid>
        <w:gridCol w:w="2977"/>
        <w:gridCol w:w="1300"/>
        <w:gridCol w:w="1311"/>
        <w:gridCol w:w="1418"/>
        <w:gridCol w:w="1311"/>
        <w:gridCol w:w="1311"/>
      </w:tblGrid>
      <w:tr w:rsidR="00D97380" w14:paraId="4B33D717" w14:textId="77777777" w:rsidTr="008525A9">
        <w:tc>
          <w:tcPr>
            <w:tcW w:w="3011" w:type="dxa"/>
          </w:tcPr>
          <w:p w14:paraId="4B33D715" w14:textId="77777777" w:rsidR="00D97380" w:rsidRDefault="00D97380" w:rsidP="007B738D">
            <w:r w:rsidRPr="00E8665D">
              <w:rPr>
                <w:rStyle w:val="Strong"/>
              </w:rPr>
              <w:t>Unique Identifier:</w:t>
            </w:r>
          </w:p>
        </w:tc>
        <w:tc>
          <w:tcPr>
            <w:tcW w:w="6617" w:type="dxa"/>
            <w:gridSpan w:val="5"/>
          </w:tcPr>
          <w:p w14:paraId="4B33D716" w14:textId="3631EA36" w:rsidR="00D97380" w:rsidRPr="00FE29CD" w:rsidRDefault="002E006F" w:rsidP="007B738D">
            <w:r w:rsidRPr="002E006F">
              <w:rPr>
                <w:rStyle w:val="Style4"/>
              </w:rPr>
              <w:t>CORP/GUID/076</w:t>
            </w:r>
          </w:p>
        </w:tc>
      </w:tr>
      <w:tr w:rsidR="00D97380" w14:paraId="4B33D71A" w14:textId="77777777" w:rsidTr="008525A9">
        <w:tc>
          <w:tcPr>
            <w:tcW w:w="3011" w:type="dxa"/>
          </w:tcPr>
          <w:p w14:paraId="4B33D718" w14:textId="77777777" w:rsidR="00D97380" w:rsidRPr="00E8665D" w:rsidRDefault="00D97380" w:rsidP="007B738D">
            <w:pPr>
              <w:rPr>
                <w:rStyle w:val="Strong"/>
              </w:rPr>
            </w:pPr>
            <w:r w:rsidRPr="00E8665D">
              <w:rPr>
                <w:rStyle w:val="Strong"/>
              </w:rPr>
              <w:t>Version Number:</w:t>
            </w:r>
          </w:p>
        </w:tc>
        <w:tc>
          <w:tcPr>
            <w:tcW w:w="6617" w:type="dxa"/>
            <w:gridSpan w:val="5"/>
          </w:tcPr>
          <w:p w14:paraId="4B33D719" w14:textId="30A1960B" w:rsidR="00D97380" w:rsidRPr="00FE29CD" w:rsidRDefault="006527AF" w:rsidP="007B738D">
            <w:r>
              <w:t>9</w:t>
            </w:r>
          </w:p>
        </w:tc>
      </w:tr>
      <w:tr w:rsidR="006646B1" w14:paraId="4B33D71D" w14:textId="77777777" w:rsidTr="008525A9">
        <w:tc>
          <w:tcPr>
            <w:tcW w:w="3011" w:type="dxa"/>
          </w:tcPr>
          <w:p w14:paraId="4B33D71B" w14:textId="77777777" w:rsidR="006646B1" w:rsidRPr="00E8665D" w:rsidRDefault="006646B1" w:rsidP="007B738D">
            <w:pPr>
              <w:rPr>
                <w:rStyle w:val="Strong"/>
              </w:rPr>
            </w:pPr>
            <w:r w:rsidRPr="006646B1">
              <w:rPr>
                <w:rStyle w:val="Strong"/>
              </w:rPr>
              <w:t>Type of Update / Status:</w:t>
            </w:r>
          </w:p>
        </w:tc>
        <w:tc>
          <w:tcPr>
            <w:tcW w:w="6617" w:type="dxa"/>
            <w:gridSpan w:val="5"/>
          </w:tcPr>
          <w:p w14:paraId="4B33D71C" w14:textId="3A2B9C9F" w:rsidR="006646B1" w:rsidRPr="005228D4" w:rsidRDefault="00E63204" w:rsidP="006646B1">
            <w:pPr>
              <w:rPr>
                <w:rStyle w:val="Strong"/>
                <w:b w:val="0"/>
                <w:bCs/>
              </w:rPr>
            </w:pPr>
            <w:sdt>
              <w:sdtPr>
                <w:rPr>
                  <w:rStyle w:val="Style3"/>
                </w:rPr>
                <w:alias w:val="Status - for example Draft or Ratified"/>
                <w:tag w:val="Status - for example Draft or Ratified"/>
                <w:id w:val="-1596012490"/>
                <w:placeholder>
                  <w:docPart w:val="A96647EEAB3148F1A7935367389F2307"/>
                </w:placeholder>
                <w:comboBox>
                  <w:listItem w:value="Choose an item."/>
                  <w:listItem w:displayText="Draft with Minor / No Technical Changes" w:value="Draft with Minor / No Technical Changes"/>
                  <w:listItem w:displayText="Draft with Moderate Changes" w:value="Draft with Moderate Changes"/>
                  <w:listItem w:displayText="Draft with Major Changes / Complete Rewrite" w:value="Draft with Major Changes / Complete Rewrite"/>
                  <w:listItem w:displayText="Draft - New Document" w:value="Draft - New Document"/>
                  <w:listItem w:displayText="Ratified with Minor / No Technical Changes" w:value="Ratified with Minor / No Technical Changes"/>
                  <w:listItem w:displayText="Ratified with Moderate Changes" w:value="Ratified with Moderate Changes"/>
                  <w:listItem w:displayText="Ratified with Major Changes / Complete Rewrite" w:value="Ratified with Major Changes / Complete Rewrite"/>
                  <w:listItem w:displayText="Ratified - New Document" w:value="Ratified - New Document"/>
                </w:comboBox>
              </w:sdtPr>
              <w:sdtEndPr>
                <w:rPr>
                  <w:rStyle w:val="Style3"/>
                </w:rPr>
              </w:sdtEndPr>
              <w:sdtContent>
                <w:r w:rsidR="0015652B">
                  <w:rPr>
                    <w:rStyle w:val="Style3"/>
                  </w:rPr>
                  <w:t>Ratified with Moderate Changes</w:t>
                </w:r>
              </w:sdtContent>
            </w:sdt>
          </w:p>
        </w:tc>
      </w:tr>
      <w:tr w:rsidR="00D97380" w14:paraId="4B33D720" w14:textId="77777777" w:rsidTr="008525A9">
        <w:tc>
          <w:tcPr>
            <w:tcW w:w="3011" w:type="dxa"/>
          </w:tcPr>
          <w:p w14:paraId="4B33D71E" w14:textId="77777777" w:rsidR="00D97380" w:rsidRPr="00E8665D" w:rsidRDefault="00D97380" w:rsidP="007B738D">
            <w:pPr>
              <w:rPr>
                <w:rStyle w:val="Strong"/>
              </w:rPr>
            </w:pPr>
            <w:r w:rsidRPr="00115716">
              <w:rPr>
                <w:rStyle w:val="Strong"/>
              </w:rPr>
              <w:t>Divisional and Department:</w:t>
            </w:r>
          </w:p>
        </w:tc>
        <w:tc>
          <w:tcPr>
            <w:tcW w:w="6617" w:type="dxa"/>
            <w:gridSpan w:val="5"/>
          </w:tcPr>
          <w:p w14:paraId="4B33D71F" w14:textId="2F2A007F" w:rsidR="00D97380" w:rsidRPr="00FE29CD" w:rsidRDefault="002E006F" w:rsidP="007B738D">
            <w:r>
              <w:rPr>
                <w:rStyle w:val="Style3"/>
              </w:rPr>
              <w:t>Nursing and Quality</w:t>
            </w:r>
            <w:r w:rsidR="00FA7DB2">
              <w:rPr>
                <w:rStyle w:val="Style3"/>
              </w:rPr>
              <w:t>, Nursing</w:t>
            </w:r>
          </w:p>
        </w:tc>
      </w:tr>
      <w:tr w:rsidR="00D97380" w14:paraId="4B33D723" w14:textId="77777777" w:rsidTr="008525A9">
        <w:tc>
          <w:tcPr>
            <w:tcW w:w="3011" w:type="dxa"/>
          </w:tcPr>
          <w:p w14:paraId="4B33D721" w14:textId="7C2D20E0" w:rsidR="00D97380" w:rsidRPr="00E8665D" w:rsidRDefault="005D039B" w:rsidP="007B738D">
            <w:pPr>
              <w:rPr>
                <w:rStyle w:val="Strong"/>
              </w:rPr>
            </w:pPr>
            <w:r w:rsidRPr="005D039B">
              <w:rPr>
                <w:rStyle w:val="Strong"/>
              </w:rPr>
              <w:t>Current Author / Lead and Job Title:</w:t>
            </w:r>
          </w:p>
        </w:tc>
        <w:tc>
          <w:tcPr>
            <w:tcW w:w="6617" w:type="dxa"/>
            <w:gridSpan w:val="5"/>
          </w:tcPr>
          <w:p w14:paraId="6E18713E" w14:textId="731E7254" w:rsidR="002E006F" w:rsidRPr="002E006F" w:rsidRDefault="002E006F" w:rsidP="002E006F">
            <w:pPr>
              <w:rPr>
                <w:rStyle w:val="Style3"/>
              </w:rPr>
            </w:pPr>
            <w:r w:rsidRPr="002E006F">
              <w:rPr>
                <w:rStyle w:val="Style3"/>
              </w:rPr>
              <w:t>Mr A Shah – Consultant Orthopaedic Surgeon –Chairman</w:t>
            </w:r>
            <w:r>
              <w:rPr>
                <w:rStyle w:val="Style3"/>
              </w:rPr>
              <w:t xml:space="preserve">, </w:t>
            </w:r>
            <w:r w:rsidRPr="002E006F">
              <w:rPr>
                <w:rStyle w:val="Style3"/>
              </w:rPr>
              <w:t>VTE Committee, Trust VTE Lead</w:t>
            </w:r>
          </w:p>
          <w:p w14:paraId="4B33D722" w14:textId="39A07099" w:rsidR="00D97380" w:rsidRPr="00FE29CD" w:rsidRDefault="002E006F" w:rsidP="002E006F">
            <w:r w:rsidRPr="002E006F">
              <w:rPr>
                <w:rStyle w:val="Style3"/>
              </w:rPr>
              <w:t>Jennifer Walters – Lead Pharmacist, Surgery</w:t>
            </w:r>
          </w:p>
        </w:tc>
      </w:tr>
      <w:tr w:rsidR="00D97380" w14:paraId="4B33D726" w14:textId="77777777" w:rsidTr="008525A9">
        <w:tc>
          <w:tcPr>
            <w:tcW w:w="3011" w:type="dxa"/>
          </w:tcPr>
          <w:p w14:paraId="4B33D724" w14:textId="77777777" w:rsidR="00D97380" w:rsidRPr="00E8665D" w:rsidRDefault="00D97380" w:rsidP="007B738D">
            <w:pPr>
              <w:rPr>
                <w:rStyle w:val="Strong"/>
              </w:rPr>
            </w:pPr>
            <w:r w:rsidRPr="00E8665D">
              <w:rPr>
                <w:rStyle w:val="Strong"/>
              </w:rPr>
              <w:t>Replaces:</w:t>
            </w:r>
          </w:p>
        </w:tc>
        <w:tc>
          <w:tcPr>
            <w:tcW w:w="6617" w:type="dxa"/>
            <w:gridSpan w:val="5"/>
          </w:tcPr>
          <w:p w14:paraId="4B33D725" w14:textId="5360DACE" w:rsidR="00D97380" w:rsidRPr="00FE29CD" w:rsidRDefault="002E006F" w:rsidP="007B738D">
            <w:r w:rsidRPr="002E006F">
              <w:rPr>
                <w:rStyle w:val="Style3"/>
              </w:rPr>
              <w:t xml:space="preserve">CORP/GUID/076, Version </w:t>
            </w:r>
            <w:proofErr w:type="gramStart"/>
            <w:r w:rsidR="006527AF">
              <w:rPr>
                <w:rStyle w:val="Style3"/>
              </w:rPr>
              <w:t>8</w:t>
            </w:r>
            <w:r w:rsidRPr="002E006F">
              <w:rPr>
                <w:rStyle w:val="Style3"/>
              </w:rPr>
              <w:t>,Prevention</w:t>
            </w:r>
            <w:proofErr w:type="gramEnd"/>
            <w:r w:rsidRPr="002E006F">
              <w:rPr>
                <w:rStyle w:val="Style3"/>
              </w:rPr>
              <w:t xml:space="preserve"> of Venous Thromboembolism (VTE) In Medical Surgical Patients (16 years +) and those requiring lower limb plaster casts / immobilisations</w:t>
            </w:r>
          </w:p>
        </w:tc>
      </w:tr>
      <w:tr w:rsidR="00D97380" w14:paraId="4B33D729" w14:textId="77777777" w:rsidTr="008525A9">
        <w:tc>
          <w:tcPr>
            <w:tcW w:w="3011" w:type="dxa"/>
          </w:tcPr>
          <w:p w14:paraId="4B33D727" w14:textId="77777777" w:rsidR="00D97380" w:rsidRPr="00E8665D" w:rsidRDefault="00D97380" w:rsidP="00D97380">
            <w:pPr>
              <w:rPr>
                <w:rStyle w:val="Strong"/>
              </w:rPr>
            </w:pPr>
            <w:r w:rsidRPr="00E8665D">
              <w:rPr>
                <w:rStyle w:val="Strong"/>
              </w:rPr>
              <w:t>Description of amendments:</w:t>
            </w:r>
          </w:p>
        </w:tc>
        <w:tc>
          <w:tcPr>
            <w:tcW w:w="6617" w:type="dxa"/>
            <w:gridSpan w:val="5"/>
          </w:tcPr>
          <w:p w14:paraId="4B33D728" w14:textId="566A477F" w:rsidR="00D97380" w:rsidRPr="005228D4" w:rsidRDefault="006527AF" w:rsidP="007B738D">
            <w:pPr>
              <w:rPr>
                <w:rStyle w:val="Strong"/>
                <w:b w:val="0"/>
                <w:bCs/>
              </w:rPr>
            </w:pPr>
            <w:r>
              <w:rPr>
                <w:rStyle w:val="Style3"/>
              </w:rPr>
              <w:t>LMWH changed from Dalteparin to Enoxaparin</w:t>
            </w:r>
          </w:p>
        </w:tc>
      </w:tr>
      <w:tr w:rsidR="008525A9" w14:paraId="4B33D72C" w14:textId="77777777" w:rsidTr="008525A9">
        <w:tc>
          <w:tcPr>
            <w:tcW w:w="3011" w:type="dxa"/>
          </w:tcPr>
          <w:p w14:paraId="4B33D72A" w14:textId="77777777" w:rsidR="008525A9" w:rsidRPr="00E8665D" w:rsidRDefault="008525A9" w:rsidP="008525A9">
            <w:pPr>
              <w:rPr>
                <w:rStyle w:val="Strong"/>
              </w:rPr>
            </w:pPr>
            <w:r>
              <w:rPr>
                <w:rStyle w:val="Strong"/>
              </w:rPr>
              <w:t>Approved</w:t>
            </w:r>
            <w:r w:rsidRPr="00115716">
              <w:rPr>
                <w:rStyle w:val="Strong"/>
              </w:rPr>
              <w:t xml:space="preserve"> by:</w:t>
            </w:r>
          </w:p>
        </w:tc>
        <w:tc>
          <w:tcPr>
            <w:tcW w:w="6617" w:type="dxa"/>
            <w:gridSpan w:val="5"/>
          </w:tcPr>
          <w:p w14:paraId="4B33D72B" w14:textId="0B9D712A" w:rsidR="008525A9" w:rsidRPr="005228D4" w:rsidRDefault="008525A9" w:rsidP="008525A9">
            <w:pPr>
              <w:rPr>
                <w:rStyle w:val="Strong"/>
                <w:b w:val="0"/>
                <w:bCs/>
              </w:rPr>
            </w:pPr>
            <w:r w:rsidRPr="004E6D70">
              <w:rPr>
                <w:rStyle w:val="Strong"/>
                <w:b w:val="0"/>
                <w:bCs/>
              </w:rPr>
              <w:t>Rebecca Bond, Chief Pharmacist, Divisional Director of Clinical Support Services, Controlled Drugs Accountable Officer on behalf of Medicine Management and Safety Review committee</w:t>
            </w:r>
          </w:p>
        </w:tc>
      </w:tr>
      <w:tr w:rsidR="008525A9" w14:paraId="4B33D72F" w14:textId="77777777" w:rsidTr="008525A9">
        <w:tc>
          <w:tcPr>
            <w:tcW w:w="3011" w:type="dxa"/>
          </w:tcPr>
          <w:p w14:paraId="4B33D72D" w14:textId="77777777" w:rsidR="008525A9" w:rsidRPr="00E8665D" w:rsidRDefault="008525A9" w:rsidP="008525A9">
            <w:pPr>
              <w:rPr>
                <w:rStyle w:val="Strong"/>
              </w:rPr>
            </w:pPr>
            <w:r>
              <w:rPr>
                <w:rStyle w:val="Strong"/>
              </w:rPr>
              <w:t>Approved</w:t>
            </w:r>
            <w:r w:rsidRPr="00E8665D">
              <w:rPr>
                <w:rStyle w:val="Strong"/>
              </w:rPr>
              <w:t xml:space="preserve"> Date:</w:t>
            </w:r>
          </w:p>
        </w:tc>
        <w:tc>
          <w:tcPr>
            <w:tcW w:w="6617" w:type="dxa"/>
            <w:gridSpan w:val="5"/>
          </w:tcPr>
          <w:p w14:paraId="4B33D72E" w14:textId="0009B477" w:rsidR="008525A9" w:rsidRPr="005228D4" w:rsidRDefault="008525A9" w:rsidP="008525A9">
            <w:pPr>
              <w:rPr>
                <w:rStyle w:val="Strong"/>
                <w:b w:val="0"/>
                <w:bCs/>
              </w:rPr>
            </w:pPr>
            <w:r>
              <w:rPr>
                <w:rStyle w:val="Strong"/>
                <w:b w:val="0"/>
                <w:bCs/>
              </w:rPr>
              <w:t>23/08/2024</w:t>
            </w:r>
          </w:p>
        </w:tc>
      </w:tr>
      <w:tr w:rsidR="008525A9" w14:paraId="4B33D732" w14:textId="77777777" w:rsidTr="008525A9">
        <w:tc>
          <w:tcPr>
            <w:tcW w:w="3011" w:type="dxa"/>
          </w:tcPr>
          <w:p w14:paraId="4B33D730" w14:textId="77777777" w:rsidR="008525A9" w:rsidRPr="00E8665D" w:rsidRDefault="008525A9" w:rsidP="008525A9">
            <w:pPr>
              <w:rPr>
                <w:rStyle w:val="Strong"/>
              </w:rPr>
            </w:pPr>
            <w:r w:rsidRPr="00115716">
              <w:rPr>
                <w:rStyle w:val="Strong"/>
              </w:rPr>
              <w:t>Issue Date:</w:t>
            </w:r>
          </w:p>
        </w:tc>
        <w:tc>
          <w:tcPr>
            <w:tcW w:w="6617" w:type="dxa"/>
            <w:gridSpan w:val="5"/>
          </w:tcPr>
          <w:p w14:paraId="4B33D731" w14:textId="0F5CF194" w:rsidR="008525A9" w:rsidRPr="005228D4" w:rsidRDefault="008525A9" w:rsidP="008525A9">
            <w:pPr>
              <w:rPr>
                <w:rStyle w:val="Strong"/>
                <w:b w:val="0"/>
                <w:bCs/>
              </w:rPr>
            </w:pPr>
            <w:r>
              <w:rPr>
                <w:rStyle w:val="Strong"/>
                <w:b w:val="0"/>
                <w:bCs/>
              </w:rPr>
              <w:t>02/12/2024</w:t>
            </w:r>
          </w:p>
        </w:tc>
      </w:tr>
      <w:tr w:rsidR="008525A9" w14:paraId="4B33D743" w14:textId="77777777" w:rsidTr="008525A9">
        <w:tc>
          <w:tcPr>
            <w:tcW w:w="3011" w:type="dxa"/>
          </w:tcPr>
          <w:p w14:paraId="4B33D733" w14:textId="77777777" w:rsidR="008525A9" w:rsidRPr="00E8665D" w:rsidRDefault="008525A9" w:rsidP="008525A9">
            <w:pPr>
              <w:rPr>
                <w:rStyle w:val="Strong"/>
              </w:rPr>
            </w:pPr>
            <w:r w:rsidRPr="00115716">
              <w:rPr>
                <w:rStyle w:val="Strong"/>
              </w:rPr>
              <w:t>Review Date</w:t>
            </w:r>
            <w:r>
              <w:rPr>
                <w:rStyle w:val="Strong"/>
              </w:rPr>
              <w:t xml:space="preserve"> from Date of Approval</w:t>
            </w:r>
            <w:r w:rsidRPr="00115716">
              <w:rPr>
                <w:rStyle w:val="Strong"/>
              </w:rPr>
              <w:t>:</w:t>
            </w:r>
          </w:p>
        </w:tc>
        <w:tc>
          <w:tcPr>
            <w:tcW w:w="1317" w:type="dxa"/>
            <w:vAlign w:val="center"/>
          </w:tcPr>
          <w:p w14:paraId="4B33D734" w14:textId="77777777" w:rsidR="008525A9" w:rsidRPr="00FE29CD" w:rsidRDefault="008525A9" w:rsidP="008525A9">
            <w:pPr>
              <w:jc w:val="center"/>
              <w:rPr>
                <w:rStyle w:val="Strong"/>
                <w:b w:val="0"/>
                <w:bCs/>
              </w:rPr>
            </w:pPr>
            <w:r w:rsidRPr="00FE29CD">
              <w:rPr>
                <w:rStyle w:val="Strong"/>
                <w:b w:val="0"/>
                <w:bCs/>
              </w:rPr>
              <w:t>1 Year</w:t>
            </w:r>
          </w:p>
          <w:p w14:paraId="4B33D735" w14:textId="35B6C01F" w:rsidR="008525A9" w:rsidRPr="002158B9" w:rsidRDefault="00E63204" w:rsidP="008525A9">
            <w:pPr>
              <w:jc w:val="center"/>
            </w:pPr>
            <w:sdt>
              <w:sdtPr>
                <w:rPr>
                  <w:rStyle w:val="Style3"/>
                </w:rPr>
                <w:id w:val="1366106187"/>
                <w14:checkbox>
                  <w14:checked w14:val="0"/>
                  <w14:checkedState w14:val="2612" w14:font="MS Gothic"/>
                  <w14:uncheckedState w14:val="2610" w14:font="MS Gothic"/>
                </w14:checkbox>
              </w:sdtPr>
              <w:sdtEndPr>
                <w:rPr>
                  <w:rStyle w:val="Style3"/>
                </w:rPr>
              </w:sdtEndPr>
              <w:sdtContent>
                <w:r w:rsidR="008525A9" w:rsidRPr="000508D9">
                  <w:rPr>
                    <w:rStyle w:val="Style3"/>
                    <w:rFonts w:eastAsia="MS Gothic" w:hint="eastAsia"/>
                  </w:rPr>
                  <w:t>☐</w:t>
                </w:r>
              </w:sdtContent>
            </w:sdt>
          </w:p>
          <w:p w14:paraId="4B33D736" w14:textId="77777777" w:rsidR="008525A9" w:rsidRPr="00FE29CD" w:rsidRDefault="008525A9" w:rsidP="008525A9">
            <w:pPr>
              <w:jc w:val="center"/>
              <w:rPr>
                <w:rStyle w:val="Strong"/>
                <w:b w:val="0"/>
                <w:bCs/>
              </w:rPr>
            </w:pPr>
          </w:p>
        </w:tc>
        <w:tc>
          <w:tcPr>
            <w:tcW w:w="1325" w:type="dxa"/>
            <w:vAlign w:val="center"/>
          </w:tcPr>
          <w:p w14:paraId="4B33D737" w14:textId="77777777" w:rsidR="008525A9" w:rsidRPr="00FE29CD" w:rsidRDefault="008525A9" w:rsidP="008525A9">
            <w:pPr>
              <w:jc w:val="center"/>
              <w:rPr>
                <w:rStyle w:val="Strong"/>
                <w:b w:val="0"/>
                <w:bCs/>
              </w:rPr>
            </w:pPr>
            <w:r w:rsidRPr="00FE29CD">
              <w:rPr>
                <w:rStyle w:val="Strong"/>
                <w:b w:val="0"/>
                <w:bCs/>
              </w:rPr>
              <w:t>2 Years</w:t>
            </w:r>
          </w:p>
          <w:sdt>
            <w:sdtPr>
              <w:id w:val="-409534055"/>
              <w14:checkbox>
                <w14:checked w14:val="0"/>
                <w14:checkedState w14:val="2612" w14:font="MS Gothic"/>
                <w14:uncheckedState w14:val="2610" w14:font="MS Gothic"/>
              </w14:checkbox>
            </w:sdtPr>
            <w:sdtEndPr/>
            <w:sdtContent>
              <w:p w14:paraId="4B33D738" w14:textId="3F0EE0B2" w:rsidR="008525A9" w:rsidRPr="002158B9" w:rsidRDefault="008525A9" w:rsidP="008525A9">
                <w:pPr>
                  <w:jc w:val="center"/>
                </w:pPr>
                <w:r w:rsidRPr="002158B9">
                  <w:rPr>
                    <w:rFonts w:ascii="Segoe UI Symbol" w:eastAsia="MS Gothic" w:hAnsi="Segoe UI Symbol" w:cs="Segoe UI Symbol"/>
                  </w:rPr>
                  <w:t>☐</w:t>
                </w:r>
              </w:p>
            </w:sdtContent>
          </w:sdt>
          <w:p w14:paraId="4B33D739" w14:textId="77777777" w:rsidR="008525A9" w:rsidRPr="00FE29CD" w:rsidRDefault="008525A9" w:rsidP="008525A9">
            <w:pPr>
              <w:jc w:val="center"/>
              <w:rPr>
                <w:rStyle w:val="Strong"/>
                <w:b w:val="0"/>
                <w:bCs/>
              </w:rPr>
            </w:pPr>
          </w:p>
        </w:tc>
        <w:tc>
          <w:tcPr>
            <w:tcW w:w="1325" w:type="dxa"/>
            <w:vAlign w:val="center"/>
          </w:tcPr>
          <w:p w14:paraId="4B33D73A" w14:textId="77777777" w:rsidR="008525A9" w:rsidRPr="00FE29CD" w:rsidRDefault="008525A9" w:rsidP="008525A9">
            <w:pPr>
              <w:jc w:val="center"/>
              <w:rPr>
                <w:rStyle w:val="Strong"/>
                <w:b w:val="0"/>
                <w:bCs/>
              </w:rPr>
            </w:pPr>
            <w:r w:rsidRPr="00FE29CD">
              <w:rPr>
                <w:rStyle w:val="Strong"/>
                <w:b w:val="0"/>
                <w:bCs/>
              </w:rPr>
              <w:t>3 Years</w:t>
            </w:r>
          </w:p>
          <w:sdt>
            <w:sdtPr>
              <w:rPr>
                <w:rStyle w:val="Strong"/>
                <w:b w:val="0"/>
                <w:bCs/>
              </w:rPr>
              <w:id w:val="1550101701"/>
              <w14:checkbox>
                <w14:checked w14:val="1"/>
                <w14:checkedState w14:val="2612" w14:font="MS Gothic"/>
                <w14:uncheckedState w14:val="2610" w14:font="MS Gothic"/>
              </w14:checkbox>
            </w:sdtPr>
            <w:sdtEndPr>
              <w:rPr>
                <w:rStyle w:val="Strong"/>
              </w:rPr>
            </w:sdtEndPr>
            <w:sdtContent>
              <w:p w14:paraId="4B33D73B" w14:textId="57D13542" w:rsidR="008525A9" w:rsidRPr="002158B9" w:rsidRDefault="008525A9" w:rsidP="008525A9">
                <w:pPr>
                  <w:jc w:val="center"/>
                </w:pPr>
                <w:r>
                  <w:rPr>
                    <w:rStyle w:val="Strong"/>
                    <w:rFonts w:ascii="MS Gothic" w:eastAsia="MS Gothic" w:hAnsi="MS Gothic" w:hint="eastAsia"/>
                    <w:b w:val="0"/>
                    <w:bCs/>
                  </w:rPr>
                  <w:t>☒</w:t>
                </w:r>
              </w:p>
            </w:sdtContent>
          </w:sdt>
          <w:p w14:paraId="4B33D73C" w14:textId="56F99DB1" w:rsidR="008525A9" w:rsidRPr="00FE29CD" w:rsidRDefault="008525A9" w:rsidP="008525A9">
            <w:pPr>
              <w:jc w:val="center"/>
              <w:rPr>
                <w:rStyle w:val="Strong"/>
                <w:b w:val="0"/>
                <w:bCs/>
              </w:rPr>
            </w:pPr>
            <w:r>
              <w:rPr>
                <w:rStyle w:val="Strong"/>
                <w:b w:val="0"/>
                <w:bCs/>
              </w:rPr>
              <w:t>23/08/2027</w:t>
            </w:r>
          </w:p>
        </w:tc>
        <w:tc>
          <w:tcPr>
            <w:tcW w:w="1325" w:type="dxa"/>
            <w:vAlign w:val="center"/>
          </w:tcPr>
          <w:p w14:paraId="4B33D73D" w14:textId="77777777" w:rsidR="008525A9" w:rsidRPr="00FE29CD" w:rsidRDefault="008525A9" w:rsidP="008525A9">
            <w:pPr>
              <w:jc w:val="center"/>
              <w:rPr>
                <w:rStyle w:val="Strong"/>
                <w:b w:val="0"/>
                <w:bCs/>
              </w:rPr>
            </w:pPr>
            <w:r w:rsidRPr="00FE29CD">
              <w:rPr>
                <w:rStyle w:val="Strong"/>
                <w:b w:val="0"/>
                <w:bCs/>
              </w:rPr>
              <w:t>4 Years</w:t>
            </w:r>
          </w:p>
          <w:sdt>
            <w:sdtPr>
              <w:rPr>
                <w:rStyle w:val="Strong"/>
                <w:b w:val="0"/>
                <w:bCs/>
              </w:rPr>
              <w:id w:val="731045937"/>
              <w14:checkbox>
                <w14:checked w14:val="0"/>
                <w14:checkedState w14:val="2612" w14:font="MS Gothic"/>
                <w14:uncheckedState w14:val="2610" w14:font="MS Gothic"/>
              </w14:checkbox>
            </w:sdtPr>
            <w:sdtEndPr>
              <w:rPr>
                <w:rStyle w:val="Strong"/>
              </w:rPr>
            </w:sdtEndPr>
            <w:sdtContent>
              <w:p w14:paraId="4B33D73E" w14:textId="1101255F" w:rsidR="008525A9" w:rsidRPr="002158B9" w:rsidRDefault="008525A9" w:rsidP="008525A9">
                <w:pPr>
                  <w:jc w:val="center"/>
                </w:pPr>
                <w:r w:rsidRPr="00FE29CD">
                  <w:rPr>
                    <w:rStyle w:val="Strong"/>
                    <w:rFonts w:ascii="MS Gothic" w:eastAsia="MS Gothic" w:hAnsi="MS Gothic" w:hint="eastAsia"/>
                    <w:b w:val="0"/>
                    <w:bCs/>
                  </w:rPr>
                  <w:t>☐</w:t>
                </w:r>
              </w:p>
            </w:sdtContent>
          </w:sdt>
          <w:p w14:paraId="4B33D73F" w14:textId="77777777" w:rsidR="008525A9" w:rsidRPr="00FE29CD" w:rsidRDefault="008525A9" w:rsidP="008525A9">
            <w:pPr>
              <w:jc w:val="center"/>
              <w:rPr>
                <w:rStyle w:val="Strong"/>
                <w:b w:val="0"/>
                <w:bCs/>
              </w:rPr>
            </w:pPr>
          </w:p>
        </w:tc>
        <w:tc>
          <w:tcPr>
            <w:tcW w:w="1325" w:type="dxa"/>
            <w:vAlign w:val="center"/>
          </w:tcPr>
          <w:p w14:paraId="4B33D740" w14:textId="77777777" w:rsidR="008525A9" w:rsidRPr="00FE29CD" w:rsidRDefault="008525A9" w:rsidP="008525A9">
            <w:pPr>
              <w:jc w:val="center"/>
              <w:rPr>
                <w:rStyle w:val="Strong"/>
                <w:b w:val="0"/>
                <w:bCs/>
              </w:rPr>
            </w:pPr>
            <w:r w:rsidRPr="00FE29CD">
              <w:rPr>
                <w:rStyle w:val="Strong"/>
                <w:b w:val="0"/>
                <w:bCs/>
              </w:rPr>
              <w:t>5 Years</w:t>
            </w:r>
          </w:p>
          <w:sdt>
            <w:sdtPr>
              <w:rPr>
                <w:rStyle w:val="Strong"/>
                <w:b w:val="0"/>
                <w:bCs/>
              </w:rPr>
              <w:id w:val="-263764776"/>
              <w14:checkbox>
                <w14:checked w14:val="0"/>
                <w14:checkedState w14:val="2612" w14:font="MS Gothic"/>
                <w14:uncheckedState w14:val="2610" w14:font="MS Gothic"/>
              </w14:checkbox>
            </w:sdtPr>
            <w:sdtEndPr>
              <w:rPr>
                <w:rStyle w:val="Strong"/>
              </w:rPr>
            </w:sdtEndPr>
            <w:sdtContent>
              <w:p w14:paraId="4B33D741" w14:textId="343FC5A3" w:rsidR="008525A9" w:rsidRPr="002158B9" w:rsidRDefault="008525A9" w:rsidP="008525A9">
                <w:pPr>
                  <w:jc w:val="center"/>
                </w:pPr>
                <w:r w:rsidRPr="00FE29CD">
                  <w:rPr>
                    <w:rStyle w:val="Strong"/>
                    <w:rFonts w:ascii="MS Gothic" w:eastAsia="MS Gothic" w:hAnsi="MS Gothic" w:hint="eastAsia"/>
                    <w:b w:val="0"/>
                    <w:bCs/>
                  </w:rPr>
                  <w:t>☐</w:t>
                </w:r>
              </w:p>
            </w:sdtContent>
          </w:sdt>
          <w:p w14:paraId="4B33D742" w14:textId="77777777" w:rsidR="008525A9" w:rsidRPr="00FE29CD" w:rsidRDefault="008525A9" w:rsidP="008525A9">
            <w:pPr>
              <w:jc w:val="center"/>
              <w:rPr>
                <w:rStyle w:val="Strong"/>
                <w:b w:val="0"/>
                <w:bCs/>
              </w:rPr>
            </w:pPr>
          </w:p>
        </w:tc>
      </w:tr>
    </w:tbl>
    <w:p w14:paraId="4B33D744" w14:textId="77777777" w:rsidR="00DF0126" w:rsidRDefault="00DF0126" w:rsidP="00E8665D"/>
    <w:p w14:paraId="796AA0FE" w14:textId="77777777" w:rsidR="00C5027D" w:rsidRDefault="00C5027D">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09"/>
        <w:gridCol w:w="4490"/>
        <w:gridCol w:w="2611"/>
      </w:tblGrid>
      <w:tr w:rsidR="00DF0126" w:rsidRPr="00995352" w14:paraId="4B33D746" w14:textId="77777777" w:rsidTr="008C2830">
        <w:trPr>
          <w:cantSplit/>
          <w:tblHeader/>
          <w:jc w:val="center"/>
        </w:trPr>
        <w:tc>
          <w:tcPr>
            <w:tcW w:w="5000" w:type="pct"/>
            <w:gridSpan w:val="4"/>
            <w:shd w:val="clear" w:color="auto" w:fill="BFBFBF" w:themeFill="background1" w:themeFillShade="BF"/>
          </w:tcPr>
          <w:p w14:paraId="4B33D745" w14:textId="061BF3F5" w:rsidR="00DF0126" w:rsidRPr="00995352" w:rsidRDefault="00DF0126" w:rsidP="000F61ED">
            <w:pPr>
              <w:pStyle w:val="AppendixYellow"/>
            </w:pPr>
            <w:bookmarkStart w:id="0" w:name="_Toc184025114"/>
            <w:r w:rsidRPr="000F7751">
              <w:lastRenderedPageBreak/>
              <w:t>Version Control Sheet</w:t>
            </w:r>
            <w:bookmarkEnd w:id="0"/>
          </w:p>
        </w:tc>
      </w:tr>
      <w:tr w:rsidR="00DF0126" w:rsidRPr="00DB608D" w14:paraId="4B33D748" w14:textId="77777777" w:rsidTr="008C2830">
        <w:trPr>
          <w:jc w:val="center"/>
        </w:trPr>
        <w:tc>
          <w:tcPr>
            <w:tcW w:w="5000" w:type="pct"/>
            <w:gridSpan w:val="4"/>
          </w:tcPr>
          <w:p w14:paraId="4B33D747" w14:textId="77777777" w:rsidR="00DF0126" w:rsidRPr="00DB608D" w:rsidRDefault="00DF0126" w:rsidP="00C5027D">
            <w:pPr>
              <w:spacing w:before="120" w:after="120"/>
            </w:pPr>
            <w:r w:rsidRPr="0038067E">
              <w:t>This must be completed and form part of the document appendices each time the document is updated and approved</w:t>
            </w:r>
          </w:p>
        </w:tc>
      </w:tr>
      <w:tr w:rsidR="00DF0126" w:rsidRPr="0038067E" w14:paraId="4B33D74D" w14:textId="77777777" w:rsidTr="00C5027D">
        <w:trPr>
          <w:jc w:val="center"/>
        </w:trPr>
        <w:tc>
          <w:tcPr>
            <w:tcW w:w="736" w:type="pct"/>
            <w:vAlign w:val="center"/>
          </w:tcPr>
          <w:p w14:paraId="4B33D749" w14:textId="77777777" w:rsidR="00DF0126" w:rsidRPr="0038067E" w:rsidRDefault="00DF0126" w:rsidP="00C5027D">
            <w:pPr>
              <w:spacing w:before="120" w:after="120"/>
              <w:jc w:val="center"/>
              <w:rPr>
                <w:b/>
              </w:rPr>
            </w:pPr>
            <w:r w:rsidRPr="0038067E">
              <w:rPr>
                <w:b/>
              </w:rPr>
              <w:t>Date</w:t>
            </w:r>
            <w:r w:rsidRPr="0038067E">
              <w:rPr>
                <w:b/>
              </w:rPr>
              <w:br/>
              <w:t>dd/mm/yy</w:t>
            </w:r>
          </w:p>
        </w:tc>
        <w:tc>
          <w:tcPr>
            <w:tcW w:w="576" w:type="pct"/>
            <w:vAlign w:val="center"/>
          </w:tcPr>
          <w:p w14:paraId="4B33D74A" w14:textId="77777777" w:rsidR="00DF0126" w:rsidRPr="0038067E" w:rsidRDefault="00DF0126" w:rsidP="00C5027D">
            <w:pPr>
              <w:spacing w:before="120" w:after="120"/>
              <w:jc w:val="center"/>
              <w:rPr>
                <w:b/>
              </w:rPr>
            </w:pPr>
            <w:r w:rsidRPr="0038067E">
              <w:rPr>
                <w:b/>
              </w:rPr>
              <w:t>Version</w:t>
            </w:r>
          </w:p>
        </w:tc>
        <w:tc>
          <w:tcPr>
            <w:tcW w:w="2332" w:type="pct"/>
            <w:vAlign w:val="center"/>
          </w:tcPr>
          <w:p w14:paraId="4B33D74B" w14:textId="77777777" w:rsidR="00DF0126" w:rsidRPr="0038067E" w:rsidRDefault="00DF0126" w:rsidP="00C5027D">
            <w:pPr>
              <w:spacing w:before="120" w:after="120"/>
              <w:jc w:val="center"/>
              <w:rPr>
                <w:b/>
              </w:rPr>
            </w:pPr>
            <w:r w:rsidRPr="0038067E">
              <w:rPr>
                <w:b/>
              </w:rPr>
              <w:t>Author</w:t>
            </w:r>
          </w:p>
        </w:tc>
        <w:tc>
          <w:tcPr>
            <w:tcW w:w="1355" w:type="pct"/>
            <w:vAlign w:val="center"/>
          </w:tcPr>
          <w:p w14:paraId="4B33D74C" w14:textId="77777777" w:rsidR="00DF0126" w:rsidRPr="0038067E" w:rsidRDefault="00DF0126" w:rsidP="00C5027D">
            <w:pPr>
              <w:spacing w:before="120" w:after="120"/>
              <w:jc w:val="center"/>
              <w:rPr>
                <w:b/>
              </w:rPr>
            </w:pPr>
            <w:r w:rsidRPr="0038067E">
              <w:rPr>
                <w:b/>
              </w:rPr>
              <w:t>Reason for changes</w:t>
            </w:r>
          </w:p>
        </w:tc>
      </w:tr>
      <w:tr w:rsidR="002E006F" w:rsidRPr="00DB608D" w14:paraId="4B33D752" w14:textId="77777777" w:rsidTr="00C5027D">
        <w:trPr>
          <w:cantSplit/>
          <w:jc w:val="center"/>
        </w:trPr>
        <w:tc>
          <w:tcPr>
            <w:tcW w:w="736" w:type="pct"/>
          </w:tcPr>
          <w:p w14:paraId="4B33D74E" w14:textId="7F2374C6" w:rsidR="002E006F" w:rsidRPr="0038067E" w:rsidRDefault="002E006F" w:rsidP="00C5027D">
            <w:pPr>
              <w:spacing w:before="120" w:after="120"/>
            </w:pPr>
            <w:r>
              <w:t>18/04/19</w:t>
            </w:r>
          </w:p>
        </w:tc>
        <w:tc>
          <w:tcPr>
            <w:tcW w:w="576" w:type="pct"/>
          </w:tcPr>
          <w:p w14:paraId="4B33D74F" w14:textId="0E43CD10" w:rsidR="002E006F" w:rsidRPr="0038067E" w:rsidRDefault="002E006F" w:rsidP="00C5027D">
            <w:pPr>
              <w:spacing w:before="120" w:after="120"/>
            </w:pPr>
            <w:r>
              <w:t>6</w:t>
            </w:r>
          </w:p>
        </w:tc>
        <w:tc>
          <w:tcPr>
            <w:tcW w:w="2332" w:type="pct"/>
          </w:tcPr>
          <w:p w14:paraId="1174D7BC" w14:textId="54D80529" w:rsidR="002E006F" w:rsidRPr="00D8597D" w:rsidRDefault="002E006F" w:rsidP="00C5027D">
            <w:pPr>
              <w:spacing w:before="120" w:after="120"/>
            </w:pPr>
            <w:r w:rsidRPr="00D8597D">
              <w:t>Mr A Shah – Consultant Orthopaedic Surgeon –Chairman</w:t>
            </w:r>
            <w:r>
              <w:br/>
            </w:r>
            <w:r w:rsidRPr="00D8597D">
              <w:t>VTE Committee, Trust VTE Lead</w:t>
            </w:r>
            <w:r>
              <w:br/>
            </w:r>
            <w:r w:rsidRPr="00D8597D">
              <w:t>Cherith Haythornthwaite – Clinical Improvement and Effectiveness Manager</w:t>
            </w:r>
          </w:p>
          <w:p w14:paraId="4B33D750" w14:textId="4A850ABB" w:rsidR="002E006F" w:rsidRPr="0038067E" w:rsidRDefault="002E006F" w:rsidP="00C5027D">
            <w:pPr>
              <w:spacing w:before="120" w:after="120"/>
            </w:pPr>
            <w:r w:rsidRPr="00D8597D">
              <w:t>Jennifer Walters – Lead Pharmacist, Surgery</w:t>
            </w:r>
          </w:p>
        </w:tc>
        <w:tc>
          <w:tcPr>
            <w:tcW w:w="1355" w:type="pct"/>
          </w:tcPr>
          <w:p w14:paraId="4B33D751" w14:textId="6CF9940D" w:rsidR="002E006F" w:rsidRPr="0038067E" w:rsidRDefault="002E006F" w:rsidP="00C5027D">
            <w:pPr>
              <w:spacing w:before="120" w:after="120"/>
            </w:pPr>
            <w:r w:rsidRPr="00D8597D">
              <w:t>3.6.1 Inclusion of advice regarding management in renal impairment</w:t>
            </w:r>
          </w:p>
        </w:tc>
      </w:tr>
      <w:tr w:rsidR="002E006F" w:rsidRPr="00DB608D" w14:paraId="6731D814" w14:textId="77777777" w:rsidTr="00C5027D">
        <w:trPr>
          <w:cantSplit/>
          <w:jc w:val="center"/>
        </w:trPr>
        <w:tc>
          <w:tcPr>
            <w:tcW w:w="736" w:type="pct"/>
          </w:tcPr>
          <w:p w14:paraId="38E6EA3E" w14:textId="0D85C89E" w:rsidR="002E006F" w:rsidRDefault="00FA7DB2" w:rsidP="00C5027D">
            <w:pPr>
              <w:spacing w:before="120" w:after="120"/>
            </w:pPr>
            <w:r>
              <w:t>18/08/22</w:t>
            </w:r>
          </w:p>
        </w:tc>
        <w:tc>
          <w:tcPr>
            <w:tcW w:w="576" w:type="pct"/>
          </w:tcPr>
          <w:p w14:paraId="0DB52817" w14:textId="7C168ACC" w:rsidR="002E006F" w:rsidRDefault="002E006F" w:rsidP="00C5027D">
            <w:pPr>
              <w:spacing w:before="120" w:after="120"/>
            </w:pPr>
            <w:r>
              <w:t>7</w:t>
            </w:r>
          </w:p>
        </w:tc>
        <w:tc>
          <w:tcPr>
            <w:tcW w:w="2332" w:type="pct"/>
          </w:tcPr>
          <w:p w14:paraId="79CFAC7B" w14:textId="58947BE8" w:rsidR="002E006F" w:rsidRPr="00D8597D" w:rsidRDefault="00FA7DB2" w:rsidP="00C5027D">
            <w:pPr>
              <w:spacing w:before="120" w:after="120"/>
            </w:pPr>
            <w:r>
              <w:t>Mr A Shah – Consultant Orthopaedic Surgeon –Chairman, VTE Committee, Trust VTE Lead</w:t>
            </w:r>
            <w:r>
              <w:br/>
              <w:t>Jennifer Walters – Lead Pharmacist, Surgery</w:t>
            </w:r>
          </w:p>
        </w:tc>
        <w:tc>
          <w:tcPr>
            <w:tcW w:w="1355" w:type="pct"/>
          </w:tcPr>
          <w:p w14:paraId="2F18D861" w14:textId="2E0C9735" w:rsidR="002E006F" w:rsidRPr="00D8597D" w:rsidRDefault="00FA7DB2" w:rsidP="00C5027D">
            <w:pPr>
              <w:spacing w:before="120" w:after="120"/>
            </w:pPr>
            <w:r w:rsidRPr="00FA7DB2">
              <w:t>Medical patients no longer require mechanical VTE prophylaxis if pharmaceutical is prescribed.</w:t>
            </w:r>
          </w:p>
        </w:tc>
      </w:tr>
      <w:tr w:rsidR="006E777B" w:rsidRPr="00DB608D" w14:paraId="23C21A72" w14:textId="77777777" w:rsidTr="00C5027D">
        <w:trPr>
          <w:cantSplit/>
          <w:jc w:val="center"/>
        </w:trPr>
        <w:tc>
          <w:tcPr>
            <w:tcW w:w="736" w:type="pct"/>
          </w:tcPr>
          <w:p w14:paraId="6FCC124D" w14:textId="7C20F6A5" w:rsidR="006E777B" w:rsidRDefault="000852B3" w:rsidP="00C5027D">
            <w:pPr>
              <w:spacing w:before="120" w:after="120"/>
            </w:pPr>
            <w:r>
              <w:t>26/10/2023</w:t>
            </w:r>
          </w:p>
        </w:tc>
        <w:tc>
          <w:tcPr>
            <w:tcW w:w="576" w:type="pct"/>
          </w:tcPr>
          <w:p w14:paraId="02E70EA2" w14:textId="37D99D2C" w:rsidR="006E777B" w:rsidRDefault="006E777B" w:rsidP="00C5027D">
            <w:pPr>
              <w:spacing w:before="120" w:after="120"/>
            </w:pPr>
            <w:r>
              <w:t>8</w:t>
            </w:r>
          </w:p>
        </w:tc>
        <w:tc>
          <w:tcPr>
            <w:tcW w:w="2332" w:type="pct"/>
          </w:tcPr>
          <w:p w14:paraId="75291DA9" w14:textId="231553A8" w:rsidR="006E777B" w:rsidRDefault="006E777B" w:rsidP="00C5027D">
            <w:pPr>
              <w:spacing w:before="120" w:after="120"/>
            </w:pPr>
            <w:r>
              <w:t>Mr A Shah – Consultant Orthopaedic Surgeon –Chairman, VTE Committee, Trust VTE Lead</w:t>
            </w:r>
            <w:r>
              <w:br/>
              <w:t>Jennifer Walters – Lead Pharmacist, Surgery</w:t>
            </w:r>
          </w:p>
        </w:tc>
        <w:tc>
          <w:tcPr>
            <w:tcW w:w="1355" w:type="pct"/>
          </w:tcPr>
          <w:p w14:paraId="4563E12B" w14:textId="3BB9FCC0" w:rsidR="006E777B" w:rsidRPr="00FA7DB2" w:rsidRDefault="006E777B" w:rsidP="00C5027D">
            <w:pPr>
              <w:spacing w:before="120" w:after="120"/>
            </w:pPr>
            <w:r>
              <w:rPr>
                <w:rStyle w:val="Style3"/>
              </w:rPr>
              <w:t>Updated to reflect clerking rather than admission to hospital to be point of assessment</w:t>
            </w:r>
          </w:p>
        </w:tc>
      </w:tr>
      <w:tr w:rsidR="008D6D6D" w:rsidRPr="00DB608D" w14:paraId="31BE75DC" w14:textId="77777777" w:rsidTr="00C5027D">
        <w:trPr>
          <w:cantSplit/>
          <w:jc w:val="center"/>
        </w:trPr>
        <w:tc>
          <w:tcPr>
            <w:tcW w:w="736" w:type="pct"/>
          </w:tcPr>
          <w:p w14:paraId="6FB680DB" w14:textId="490B35AB" w:rsidR="008D6D6D" w:rsidRDefault="008525A9" w:rsidP="00C5027D">
            <w:pPr>
              <w:spacing w:before="120" w:after="120"/>
            </w:pPr>
            <w:r>
              <w:t>23/08/24</w:t>
            </w:r>
          </w:p>
        </w:tc>
        <w:tc>
          <w:tcPr>
            <w:tcW w:w="576" w:type="pct"/>
          </w:tcPr>
          <w:p w14:paraId="477A45C6" w14:textId="50683BBF" w:rsidR="008D6D6D" w:rsidRDefault="008D6D6D" w:rsidP="00C5027D">
            <w:pPr>
              <w:spacing w:before="120" w:after="120"/>
            </w:pPr>
            <w:r>
              <w:t>9</w:t>
            </w:r>
          </w:p>
        </w:tc>
        <w:tc>
          <w:tcPr>
            <w:tcW w:w="2332" w:type="pct"/>
          </w:tcPr>
          <w:p w14:paraId="38D38C48" w14:textId="0EFB955F" w:rsidR="008D6D6D" w:rsidRDefault="008D6D6D" w:rsidP="008D6D6D">
            <w:pPr>
              <w:spacing w:before="120" w:after="120"/>
            </w:pPr>
            <w:r>
              <w:t>Mr A Shah – Consultant Orthopaedic Surgeon –Chairman, VTE Committee, Trust VTE Lead</w:t>
            </w:r>
            <w:r>
              <w:br/>
              <w:t>Jennifer Walters – Lead Pharmacist, Surgery</w:t>
            </w:r>
          </w:p>
        </w:tc>
        <w:tc>
          <w:tcPr>
            <w:tcW w:w="1355" w:type="pct"/>
          </w:tcPr>
          <w:p w14:paraId="26B96759" w14:textId="23B1F8A7" w:rsidR="008D6D6D" w:rsidRDefault="008D6D6D" w:rsidP="00C5027D">
            <w:pPr>
              <w:spacing w:before="120" w:after="120"/>
              <w:rPr>
                <w:rStyle w:val="Style3"/>
              </w:rPr>
            </w:pPr>
            <w:r w:rsidRPr="008D6D6D">
              <w:rPr>
                <w:rStyle w:val="Style3"/>
              </w:rPr>
              <w:t>LMWH changed from Dalteparin to Enoxaparin</w:t>
            </w:r>
          </w:p>
        </w:tc>
      </w:tr>
    </w:tbl>
    <w:p w14:paraId="4B33D753" w14:textId="77777777" w:rsidR="00DF0126" w:rsidRDefault="00DF0126" w:rsidP="00DF0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4908"/>
        <w:gridCol w:w="2168"/>
      </w:tblGrid>
      <w:tr w:rsidR="00DF0126" w:rsidRPr="00995352" w14:paraId="4B33D755" w14:textId="77777777" w:rsidTr="008C2830">
        <w:trPr>
          <w:cantSplit/>
          <w:tblHeader/>
          <w:jc w:val="center"/>
        </w:trPr>
        <w:tc>
          <w:tcPr>
            <w:tcW w:w="5000" w:type="pct"/>
            <w:gridSpan w:val="3"/>
            <w:shd w:val="clear" w:color="auto" w:fill="BFBFBF" w:themeFill="background1" w:themeFillShade="BF"/>
          </w:tcPr>
          <w:p w14:paraId="4B33D754" w14:textId="77777777" w:rsidR="00DF0126" w:rsidRPr="00995352" w:rsidRDefault="00DF0126" w:rsidP="00616375">
            <w:pPr>
              <w:pStyle w:val="AppendixYellow"/>
            </w:pPr>
            <w:bookmarkStart w:id="1" w:name="_Toc184025115"/>
            <w:bookmarkStart w:id="2" w:name="OLE_LINK6"/>
            <w:bookmarkStart w:id="3" w:name="OLE_LINK7"/>
            <w:r w:rsidRPr="00995352">
              <w:t xml:space="preserve">Consultation / Acknowledgements with </w:t>
            </w:r>
            <w:r w:rsidR="00616375">
              <w:t>Stakeholders</w:t>
            </w:r>
            <w:bookmarkEnd w:id="1"/>
          </w:p>
        </w:tc>
      </w:tr>
      <w:tr w:rsidR="00DF0126" w:rsidRPr="00CF0412" w14:paraId="4B33D759" w14:textId="77777777" w:rsidTr="008C2830">
        <w:trPr>
          <w:cantSplit/>
          <w:tblHeader/>
          <w:jc w:val="center"/>
        </w:trPr>
        <w:tc>
          <w:tcPr>
            <w:tcW w:w="1325" w:type="pct"/>
            <w:vAlign w:val="center"/>
          </w:tcPr>
          <w:p w14:paraId="4B33D756" w14:textId="77777777" w:rsidR="00DF0126" w:rsidRPr="00CF0412" w:rsidRDefault="00DF0126" w:rsidP="000F61ED">
            <w:pPr>
              <w:jc w:val="center"/>
              <w:rPr>
                <w:b/>
              </w:rPr>
            </w:pPr>
            <w:r w:rsidRPr="00CF0412">
              <w:rPr>
                <w:b/>
              </w:rPr>
              <w:t>Name</w:t>
            </w:r>
          </w:p>
        </w:tc>
        <w:tc>
          <w:tcPr>
            <w:tcW w:w="2549" w:type="pct"/>
            <w:vAlign w:val="center"/>
          </w:tcPr>
          <w:p w14:paraId="4B33D757" w14:textId="77777777" w:rsidR="00DF0126" w:rsidRPr="00CF0412" w:rsidRDefault="00DF0126" w:rsidP="000F61ED">
            <w:pPr>
              <w:jc w:val="center"/>
              <w:rPr>
                <w:b/>
              </w:rPr>
            </w:pPr>
            <w:r w:rsidRPr="00CF0412">
              <w:rPr>
                <w:b/>
              </w:rPr>
              <w:t>Designation</w:t>
            </w:r>
          </w:p>
        </w:tc>
        <w:tc>
          <w:tcPr>
            <w:tcW w:w="1126" w:type="pct"/>
            <w:vAlign w:val="center"/>
          </w:tcPr>
          <w:p w14:paraId="4B33D758" w14:textId="77777777" w:rsidR="00DF0126" w:rsidRPr="0076500D" w:rsidRDefault="00DF0126" w:rsidP="000F61ED">
            <w:pPr>
              <w:jc w:val="center"/>
              <w:rPr>
                <w:b/>
              </w:rPr>
            </w:pPr>
            <w:r w:rsidRPr="0076500D">
              <w:rPr>
                <w:b/>
              </w:rPr>
              <w:t>Date Response Received</w:t>
            </w:r>
          </w:p>
        </w:tc>
      </w:tr>
      <w:tr w:rsidR="000B288E" w:rsidRPr="00DB608D" w14:paraId="7700C27D" w14:textId="77777777" w:rsidTr="008C2830">
        <w:trPr>
          <w:cantSplit/>
          <w:jc w:val="center"/>
        </w:trPr>
        <w:tc>
          <w:tcPr>
            <w:tcW w:w="1325" w:type="pct"/>
          </w:tcPr>
          <w:p w14:paraId="26EFAD17" w14:textId="77777777" w:rsidR="000B288E" w:rsidRPr="008B0506" w:rsidRDefault="000B288E" w:rsidP="00FA7DB2"/>
        </w:tc>
        <w:tc>
          <w:tcPr>
            <w:tcW w:w="2549" w:type="pct"/>
          </w:tcPr>
          <w:p w14:paraId="53D00A38" w14:textId="77777777" w:rsidR="000B288E" w:rsidRDefault="000B288E" w:rsidP="00FA7DB2"/>
        </w:tc>
        <w:tc>
          <w:tcPr>
            <w:tcW w:w="1126" w:type="pct"/>
          </w:tcPr>
          <w:p w14:paraId="6F24EF64" w14:textId="77777777" w:rsidR="000B288E" w:rsidRDefault="000B288E" w:rsidP="00FA7DB2"/>
        </w:tc>
      </w:tr>
      <w:tr w:rsidR="000B288E" w:rsidRPr="00DB608D" w14:paraId="4B33D75D" w14:textId="77777777" w:rsidTr="008C2830">
        <w:trPr>
          <w:cantSplit/>
          <w:jc w:val="center"/>
        </w:trPr>
        <w:tc>
          <w:tcPr>
            <w:tcW w:w="1325" w:type="pct"/>
          </w:tcPr>
          <w:p w14:paraId="4B33D75A" w14:textId="602A05FA" w:rsidR="000B288E" w:rsidRPr="008B0506" w:rsidRDefault="000B288E" w:rsidP="000B288E">
            <w:r>
              <w:t>Noel Topping</w:t>
            </w:r>
          </w:p>
        </w:tc>
        <w:tc>
          <w:tcPr>
            <w:tcW w:w="2549" w:type="pct"/>
          </w:tcPr>
          <w:p w14:paraId="4B33D75B" w14:textId="392C7D57" w:rsidR="000B288E" w:rsidRPr="00DB608D" w:rsidRDefault="000B288E" w:rsidP="000B288E">
            <w:r>
              <w:t>Lead Pharmacist Cardiology</w:t>
            </w:r>
          </w:p>
        </w:tc>
        <w:tc>
          <w:tcPr>
            <w:tcW w:w="1126" w:type="pct"/>
          </w:tcPr>
          <w:p w14:paraId="4B33D75C" w14:textId="4771E57D" w:rsidR="000B288E" w:rsidRPr="00DB608D" w:rsidRDefault="000B288E" w:rsidP="000B288E">
            <w:r>
              <w:t>28/6/24</w:t>
            </w:r>
          </w:p>
        </w:tc>
      </w:tr>
      <w:tr w:rsidR="000B288E" w:rsidRPr="00DB608D" w14:paraId="628BD081" w14:textId="77777777" w:rsidTr="008C2830">
        <w:trPr>
          <w:cantSplit/>
          <w:jc w:val="center"/>
        </w:trPr>
        <w:tc>
          <w:tcPr>
            <w:tcW w:w="1325" w:type="pct"/>
          </w:tcPr>
          <w:p w14:paraId="7283AD2B" w14:textId="28CAD196" w:rsidR="000B288E" w:rsidRDefault="000B288E" w:rsidP="000B288E">
            <w:r>
              <w:t>Alex Davies</w:t>
            </w:r>
          </w:p>
        </w:tc>
        <w:tc>
          <w:tcPr>
            <w:tcW w:w="2549" w:type="pct"/>
          </w:tcPr>
          <w:p w14:paraId="40974A13" w14:textId="07D7307A" w:rsidR="000B288E" w:rsidRDefault="000B288E" w:rsidP="000B288E">
            <w:r>
              <w:t>Lead Pharmacist Heamatology Oncology</w:t>
            </w:r>
          </w:p>
        </w:tc>
        <w:tc>
          <w:tcPr>
            <w:tcW w:w="1126" w:type="pct"/>
          </w:tcPr>
          <w:p w14:paraId="070193B2" w14:textId="656B68A6" w:rsidR="000B288E" w:rsidRDefault="000B288E" w:rsidP="000B288E">
            <w:r>
              <w:t>2/7/24</w:t>
            </w:r>
          </w:p>
        </w:tc>
      </w:tr>
      <w:tr w:rsidR="000B288E" w:rsidRPr="00DB608D" w14:paraId="13719A5F" w14:textId="77777777" w:rsidTr="008C2830">
        <w:trPr>
          <w:cantSplit/>
          <w:jc w:val="center"/>
        </w:trPr>
        <w:tc>
          <w:tcPr>
            <w:tcW w:w="1325" w:type="pct"/>
          </w:tcPr>
          <w:p w14:paraId="0E830EC0" w14:textId="083BFC37" w:rsidR="000B288E" w:rsidRDefault="000B288E" w:rsidP="000B288E">
            <w:r>
              <w:t>James Baker</w:t>
            </w:r>
          </w:p>
        </w:tc>
        <w:tc>
          <w:tcPr>
            <w:tcW w:w="2549" w:type="pct"/>
          </w:tcPr>
          <w:p w14:paraId="54D996CB" w14:textId="00478B52" w:rsidR="000B288E" w:rsidRDefault="000B288E" w:rsidP="000B288E">
            <w:r>
              <w:t>Assistant Director Pharmacy</w:t>
            </w:r>
          </w:p>
        </w:tc>
        <w:tc>
          <w:tcPr>
            <w:tcW w:w="1126" w:type="pct"/>
          </w:tcPr>
          <w:p w14:paraId="3A7AC8AE" w14:textId="53B88B40" w:rsidR="000B288E" w:rsidRDefault="000B288E" w:rsidP="000B288E">
            <w:r>
              <w:t>27/6/24</w:t>
            </w:r>
          </w:p>
        </w:tc>
      </w:tr>
      <w:tr w:rsidR="000B288E" w:rsidRPr="00DB608D" w14:paraId="50E4848B" w14:textId="77777777" w:rsidTr="008C2830">
        <w:trPr>
          <w:cantSplit/>
          <w:jc w:val="center"/>
        </w:trPr>
        <w:tc>
          <w:tcPr>
            <w:tcW w:w="1325" w:type="pct"/>
          </w:tcPr>
          <w:p w14:paraId="5B5A901C" w14:textId="77777777" w:rsidR="000B288E" w:rsidRDefault="000B288E" w:rsidP="000B288E"/>
        </w:tc>
        <w:tc>
          <w:tcPr>
            <w:tcW w:w="2549" w:type="pct"/>
          </w:tcPr>
          <w:p w14:paraId="3C575FE8" w14:textId="2CD653D4" w:rsidR="000B288E" w:rsidRDefault="000B288E" w:rsidP="000B288E">
            <w:r>
              <w:t>VTE Pathways Implementation Group</w:t>
            </w:r>
          </w:p>
        </w:tc>
        <w:tc>
          <w:tcPr>
            <w:tcW w:w="1126" w:type="pct"/>
          </w:tcPr>
          <w:p w14:paraId="7F072A09" w14:textId="5F72E73F" w:rsidR="000B288E" w:rsidRDefault="000B288E" w:rsidP="000B288E">
            <w:r>
              <w:t>31/7/24</w:t>
            </w:r>
          </w:p>
        </w:tc>
      </w:tr>
      <w:bookmarkEnd w:id="2"/>
      <w:bookmarkEnd w:id="3"/>
    </w:tbl>
    <w:p w14:paraId="4B33D762" w14:textId="77777777" w:rsidR="009311F3" w:rsidRPr="009311F3" w:rsidRDefault="009311F3" w:rsidP="00E8665D">
      <w:pPr>
        <w:rPr>
          <w:rStyle w:val="Strong"/>
        </w:rPr>
      </w:pPr>
      <w:r>
        <w:br w:type="page"/>
      </w:r>
      <w:r w:rsidRPr="009311F3">
        <w:rPr>
          <w:rStyle w:val="Strong"/>
        </w:rPr>
        <w:lastRenderedPageBreak/>
        <w:t>CONTENTS</w:t>
      </w:r>
    </w:p>
    <w:p w14:paraId="17E8733D" w14:textId="31081198" w:rsidR="0015652B" w:rsidRDefault="00CF74FF">
      <w:pPr>
        <w:pStyle w:val="TOC1"/>
        <w:rPr>
          <w:rFonts w:asciiTheme="minorHAnsi" w:eastAsiaTheme="minorEastAsia" w:hAnsiTheme="minorHAnsi" w:cstheme="minorBidi"/>
          <w:bCs w:val="0"/>
          <w:noProof/>
          <w:kern w:val="2"/>
          <w:sz w:val="22"/>
          <w:szCs w:val="22"/>
          <w:lang w:eastAsia="en-GB"/>
          <w14:ligatures w14:val="standardContextual"/>
        </w:rPr>
      </w:pPr>
      <w:r>
        <w:fldChar w:fldCharType="begin"/>
      </w:r>
      <w:r w:rsidR="00795C14">
        <w:instrText xml:space="preserve"> TOC \o "1-3" \h \z \t "Appendix Yellow,1" </w:instrText>
      </w:r>
      <w:r>
        <w:fldChar w:fldCharType="separate"/>
      </w:r>
      <w:hyperlink w:anchor="_Toc184025114" w:history="1">
        <w:r w:rsidR="0015652B" w:rsidRPr="00BD20D3">
          <w:rPr>
            <w:rStyle w:val="Hyperlink"/>
            <w:noProof/>
          </w:rPr>
          <w:t>Version Control Sheet</w:t>
        </w:r>
        <w:r w:rsidR="0015652B">
          <w:rPr>
            <w:noProof/>
            <w:webHidden/>
          </w:rPr>
          <w:tab/>
        </w:r>
        <w:r w:rsidR="0015652B">
          <w:rPr>
            <w:noProof/>
            <w:webHidden/>
          </w:rPr>
          <w:fldChar w:fldCharType="begin"/>
        </w:r>
        <w:r w:rsidR="0015652B">
          <w:rPr>
            <w:noProof/>
            <w:webHidden/>
          </w:rPr>
          <w:instrText xml:space="preserve"> PAGEREF _Toc184025114 \h </w:instrText>
        </w:r>
        <w:r w:rsidR="0015652B">
          <w:rPr>
            <w:noProof/>
            <w:webHidden/>
          </w:rPr>
        </w:r>
        <w:r w:rsidR="0015652B">
          <w:rPr>
            <w:noProof/>
            <w:webHidden/>
          </w:rPr>
          <w:fldChar w:fldCharType="separate"/>
        </w:r>
        <w:r w:rsidR="0015652B">
          <w:rPr>
            <w:noProof/>
            <w:webHidden/>
          </w:rPr>
          <w:t>2</w:t>
        </w:r>
        <w:r w:rsidR="0015652B">
          <w:rPr>
            <w:noProof/>
            <w:webHidden/>
          </w:rPr>
          <w:fldChar w:fldCharType="end"/>
        </w:r>
      </w:hyperlink>
    </w:p>
    <w:p w14:paraId="4B999BCA" w14:textId="33A7A761"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15" w:history="1">
        <w:r w:rsidRPr="00BD20D3">
          <w:rPr>
            <w:rStyle w:val="Hyperlink"/>
            <w:noProof/>
          </w:rPr>
          <w:t>Consultation / Acknowledgements with Stakeholders</w:t>
        </w:r>
        <w:r>
          <w:rPr>
            <w:noProof/>
            <w:webHidden/>
          </w:rPr>
          <w:tab/>
        </w:r>
        <w:r>
          <w:rPr>
            <w:noProof/>
            <w:webHidden/>
          </w:rPr>
          <w:fldChar w:fldCharType="begin"/>
        </w:r>
        <w:r>
          <w:rPr>
            <w:noProof/>
            <w:webHidden/>
          </w:rPr>
          <w:instrText xml:space="preserve"> PAGEREF _Toc184025115 \h </w:instrText>
        </w:r>
        <w:r>
          <w:rPr>
            <w:noProof/>
            <w:webHidden/>
          </w:rPr>
        </w:r>
        <w:r>
          <w:rPr>
            <w:noProof/>
            <w:webHidden/>
          </w:rPr>
          <w:fldChar w:fldCharType="separate"/>
        </w:r>
        <w:r>
          <w:rPr>
            <w:noProof/>
            <w:webHidden/>
          </w:rPr>
          <w:t>2</w:t>
        </w:r>
        <w:r>
          <w:rPr>
            <w:noProof/>
            <w:webHidden/>
          </w:rPr>
          <w:fldChar w:fldCharType="end"/>
        </w:r>
      </w:hyperlink>
    </w:p>
    <w:p w14:paraId="5EFA69CD" w14:textId="3CBC0632"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16" w:history="1">
        <w:r w:rsidRPr="00BD20D3">
          <w:rPr>
            <w:rStyle w:val="Hyperlink"/>
            <w:noProof/>
          </w:rPr>
          <w:t>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rPr>
          <w:t>Introduction / Purpose</w:t>
        </w:r>
        <w:r>
          <w:rPr>
            <w:noProof/>
            <w:webHidden/>
          </w:rPr>
          <w:tab/>
        </w:r>
        <w:r>
          <w:rPr>
            <w:noProof/>
            <w:webHidden/>
          </w:rPr>
          <w:fldChar w:fldCharType="begin"/>
        </w:r>
        <w:r>
          <w:rPr>
            <w:noProof/>
            <w:webHidden/>
          </w:rPr>
          <w:instrText xml:space="preserve"> PAGEREF _Toc184025116 \h </w:instrText>
        </w:r>
        <w:r>
          <w:rPr>
            <w:noProof/>
            <w:webHidden/>
          </w:rPr>
        </w:r>
        <w:r>
          <w:rPr>
            <w:noProof/>
            <w:webHidden/>
          </w:rPr>
          <w:fldChar w:fldCharType="separate"/>
        </w:r>
        <w:r>
          <w:rPr>
            <w:noProof/>
            <w:webHidden/>
          </w:rPr>
          <w:t>4</w:t>
        </w:r>
        <w:r>
          <w:rPr>
            <w:noProof/>
            <w:webHidden/>
          </w:rPr>
          <w:fldChar w:fldCharType="end"/>
        </w:r>
      </w:hyperlink>
    </w:p>
    <w:p w14:paraId="47B9BA02" w14:textId="5C1EA39E"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17" w:history="1">
        <w:r w:rsidRPr="00BD20D3">
          <w:rPr>
            <w:rStyle w:val="Hyperlink"/>
            <w:noProof/>
          </w:rPr>
          <w:t>2</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rPr>
          <w:t>General Principles / Target Audience</w:t>
        </w:r>
        <w:r>
          <w:rPr>
            <w:noProof/>
            <w:webHidden/>
          </w:rPr>
          <w:tab/>
        </w:r>
        <w:r>
          <w:rPr>
            <w:noProof/>
            <w:webHidden/>
          </w:rPr>
          <w:fldChar w:fldCharType="begin"/>
        </w:r>
        <w:r>
          <w:rPr>
            <w:noProof/>
            <w:webHidden/>
          </w:rPr>
          <w:instrText xml:space="preserve"> PAGEREF _Toc184025117 \h </w:instrText>
        </w:r>
        <w:r>
          <w:rPr>
            <w:noProof/>
            <w:webHidden/>
          </w:rPr>
        </w:r>
        <w:r>
          <w:rPr>
            <w:noProof/>
            <w:webHidden/>
          </w:rPr>
          <w:fldChar w:fldCharType="separate"/>
        </w:r>
        <w:r>
          <w:rPr>
            <w:noProof/>
            <w:webHidden/>
          </w:rPr>
          <w:t>4</w:t>
        </w:r>
        <w:r>
          <w:rPr>
            <w:noProof/>
            <w:webHidden/>
          </w:rPr>
          <w:fldChar w:fldCharType="end"/>
        </w:r>
      </w:hyperlink>
    </w:p>
    <w:p w14:paraId="3B21C514" w14:textId="4D204778"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18" w:history="1">
        <w:r w:rsidRPr="00BD20D3">
          <w:rPr>
            <w:rStyle w:val="Hyperlink"/>
            <w:noProof/>
            <w:lang w:val="en-US"/>
          </w:rPr>
          <w:t>2.1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Staff</w:t>
        </w:r>
        <w:r>
          <w:rPr>
            <w:noProof/>
            <w:webHidden/>
          </w:rPr>
          <w:tab/>
        </w:r>
        <w:r>
          <w:rPr>
            <w:noProof/>
            <w:webHidden/>
          </w:rPr>
          <w:fldChar w:fldCharType="begin"/>
        </w:r>
        <w:r>
          <w:rPr>
            <w:noProof/>
            <w:webHidden/>
          </w:rPr>
          <w:instrText xml:space="preserve"> PAGEREF _Toc184025118 \h </w:instrText>
        </w:r>
        <w:r>
          <w:rPr>
            <w:noProof/>
            <w:webHidden/>
          </w:rPr>
        </w:r>
        <w:r>
          <w:rPr>
            <w:noProof/>
            <w:webHidden/>
          </w:rPr>
          <w:fldChar w:fldCharType="separate"/>
        </w:r>
        <w:r>
          <w:rPr>
            <w:noProof/>
            <w:webHidden/>
          </w:rPr>
          <w:t>4</w:t>
        </w:r>
        <w:r>
          <w:rPr>
            <w:noProof/>
            <w:webHidden/>
          </w:rPr>
          <w:fldChar w:fldCharType="end"/>
        </w:r>
      </w:hyperlink>
    </w:p>
    <w:p w14:paraId="19926EC1" w14:textId="1F470E4F"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19" w:history="1">
        <w:r w:rsidRPr="00BD20D3">
          <w:rPr>
            <w:rStyle w:val="Hyperlink"/>
            <w:noProof/>
            <w:lang w:val="en-US"/>
          </w:rPr>
          <w:t>2.2</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Service Users within scope</w:t>
        </w:r>
        <w:r>
          <w:rPr>
            <w:noProof/>
            <w:webHidden/>
          </w:rPr>
          <w:tab/>
        </w:r>
        <w:r>
          <w:rPr>
            <w:noProof/>
            <w:webHidden/>
          </w:rPr>
          <w:fldChar w:fldCharType="begin"/>
        </w:r>
        <w:r>
          <w:rPr>
            <w:noProof/>
            <w:webHidden/>
          </w:rPr>
          <w:instrText xml:space="preserve"> PAGEREF _Toc184025119 \h </w:instrText>
        </w:r>
        <w:r>
          <w:rPr>
            <w:noProof/>
            <w:webHidden/>
          </w:rPr>
        </w:r>
        <w:r>
          <w:rPr>
            <w:noProof/>
            <w:webHidden/>
          </w:rPr>
          <w:fldChar w:fldCharType="separate"/>
        </w:r>
        <w:r>
          <w:rPr>
            <w:noProof/>
            <w:webHidden/>
          </w:rPr>
          <w:t>4</w:t>
        </w:r>
        <w:r>
          <w:rPr>
            <w:noProof/>
            <w:webHidden/>
          </w:rPr>
          <w:fldChar w:fldCharType="end"/>
        </w:r>
      </w:hyperlink>
    </w:p>
    <w:p w14:paraId="21AF9777" w14:textId="06F22894"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0" w:history="1">
        <w:r w:rsidRPr="00BD20D3">
          <w:rPr>
            <w:rStyle w:val="Hyperlink"/>
            <w:noProof/>
            <w:lang w:val="en-US"/>
          </w:rPr>
          <w:t>2.3</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Service users out of scope</w:t>
        </w:r>
        <w:r>
          <w:rPr>
            <w:noProof/>
            <w:webHidden/>
          </w:rPr>
          <w:tab/>
        </w:r>
        <w:r>
          <w:rPr>
            <w:noProof/>
            <w:webHidden/>
          </w:rPr>
          <w:fldChar w:fldCharType="begin"/>
        </w:r>
        <w:r>
          <w:rPr>
            <w:noProof/>
            <w:webHidden/>
          </w:rPr>
          <w:instrText xml:space="preserve"> PAGEREF _Toc184025120 \h </w:instrText>
        </w:r>
        <w:r>
          <w:rPr>
            <w:noProof/>
            <w:webHidden/>
          </w:rPr>
        </w:r>
        <w:r>
          <w:rPr>
            <w:noProof/>
            <w:webHidden/>
          </w:rPr>
          <w:fldChar w:fldCharType="separate"/>
        </w:r>
        <w:r>
          <w:rPr>
            <w:noProof/>
            <w:webHidden/>
          </w:rPr>
          <w:t>4</w:t>
        </w:r>
        <w:r>
          <w:rPr>
            <w:noProof/>
            <w:webHidden/>
          </w:rPr>
          <w:fldChar w:fldCharType="end"/>
        </w:r>
      </w:hyperlink>
    </w:p>
    <w:p w14:paraId="6852704B" w14:textId="6A23644C"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21" w:history="1">
        <w:r w:rsidRPr="00BD20D3">
          <w:rPr>
            <w:rStyle w:val="Hyperlink"/>
            <w:noProof/>
          </w:rPr>
          <w:t>3</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rPr>
          <w:t>Definitions and Abbreviations</w:t>
        </w:r>
        <w:r>
          <w:rPr>
            <w:noProof/>
            <w:webHidden/>
          </w:rPr>
          <w:tab/>
        </w:r>
        <w:r>
          <w:rPr>
            <w:noProof/>
            <w:webHidden/>
          </w:rPr>
          <w:fldChar w:fldCharType="begin"/>
        </w:r>
        <w:r>
          <w:rPr>
            <w:noProof/>
            <w:webHidden/>
          </w:rPr>
          <w:instrText xml:space="preserve"> PAGEREF _Toc184025121 \h </w:instrText>
        </w:r>
        <w:r>
          <w:rPr>
            <w:noProof/>
            <w:webHidden/>
          </w:rPr>
        </w:r>
        <w:r>
          <w:rPr>
            <w:noProof/>
            <w:webHidden/>
          </w:rPr>
          <w:fldChar w:fldCharType="separate"/>
        </w:r>
        <w:r>
          <w:rPr>
            <w:noProof/>
            <w:webHidden/>
          </w:rPr>
          <w:t>5</w:t>
        </w:r>
        <w:r>
          <w:rPr>
            <w:noProof/>
            <w:webHidden/>
          </w:rPr>
          <w:fldChar w:fldCharType="end"/>
        </w:r>
      </w:hyperlink>
    </w:p>
    <w:p w14:paraId="3DAAD2B3" w14:textId="6CD448F3"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22" w:history="1">
        <w:r w:rsidRPr="00BD20D3">
          <w:rPr>
            <w:rStyle w:val="Hyperlink"/>
            <w:noProof/>
            <w:lang w:val="en-US"/>
          </w:rPr>
          <w:t>4</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Guideline</w:t>
        </w:r>
        <w:r>
          <w:rPr>
            <w:noProof/>
            <w:webHidden/>
          </w:rPr>
          <w:tab/>
        </w:r>
        <w:r>
          <w:rPr>
            <w:noProof/>
            <w:webHidden/>
          </w:rPr>
          <w:fldChar w:fldCharType="begin"/>
        </w:r>
        <w:r>
          <w:rPr>
            <w:noProof/>
            <w:webHidden/>
          </w:rPr>
          <w:instrText xml:space="preserve"> PAGEREF _Toc184025122 \h </w:instrText>
        </w:r>
        <w:r>
          <w:rPr>
            <w:noProof/>
            <w:webHidden/>
          </w:rPr>
        </w:r>
        <w:r>
          <w:rPr>
            <w:noProof/>
            <w:webHidden/>
          </w:rPr>
          <w:fldChar w:fldCharType="separate"/>
        </w:r>
        <w:r>
          <w:rPr>
            <w:noProof/>
            <w:webHidden/>
          </w:rPr>
          <w:t>5</w:t>
        </w:r>
        <w:r>
          <w:rPr>
            <w:noProof/>
            <w:webHidden/>
          </w:rPr>
          <w:fldChar w:fldCharType="end"/>
        </w:r>
      </w:hyperlink>
    </w:p>
    <w:p w14:paraId="5D61F49E" w14:textId="70A31178"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3" w:history="1">
        <w:r w:rsidRPr="00BD20D3">
          <w:rPr>
            <w:rStyle w:val="Hyperlink"/>
            <w:noProof/>
            <w:lang w:val="en-US"/>
          </w:rPr>
          <w:t>4.1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Introduction / General</w:t>
        </w:r>
        <w:r>
          <w:rPr>
            <w:noProof/>
            <w:webHidden/>
          </w:rPr>
          <w:tab/>
        </w:r>
        <w:r>
          <w:rPr>
            <w:noProof/>
            <w:webHidden/>
          </w:rPr>
          <w:fldChar w:fldCharType="begin"/>
        </w:r>
        <w:r>
          <w:rPr>
            <w:noProof/>
            <w:webHidden/>
          </w:rPr>
          <w:instrText xml:space="preserve"> PAGEREF _Toc184025123 \h </w:instrText>
        </w:r>
        <w:r>
          <w:rPr>
            <w:noProof/>
            <w:webHidden/>
          </w:rPr>
        </w:r>
        <w:r>
          <w:rPr>
            <w:noProof/>
            <w:webHidden/>
          </w:rPr>
          <w:fldChar w:fldCharType="separate"/>
        </w:r>
        <w:r>
          <w:rPr>
            <w:noProof/>
            <w:webHidden/>
          </w:rPr>
          <w:t>5</w:t>
        </w:r>
        <w:r>
          <w:rPr>
            <w:noProof/>
            <w:webHidden/>
          </w:rPr>
          <w:fldChar w:fldCharType="end"/>
        </w:r>
      </w:hyperlink>
    </w:p>
    <w:p w14:paraId="11F23834" w14:textId="0F305464"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4" w:history="1">
        <w:r w:rsidRPr="00BD20D3">
          <w:rPr>
            <w:rStyle w:val="Hyperlink"/>
            <w:noProof/>
            <w:lang w:val="en-US"/>
          </w:rPr>
          <w:t>4.2</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Primary Assessment</w:t>
        </w:r>
        <w:r>
          <w:rPr>
            <w:noProof/>
            <w:webHidden/>
          </w:rPr>
          <w:tab/>
        </w:r>
        <w:r>
          <w:rPr>
            <w:noProof/>
            <w:webHidden/>
          </w:rPr>
          <w:fldChar w:fldCharType="begin"/>
        </w:r>
        <w:r>
          <w:rPr>
            <w:noProof/>
            <w:webHidden/>
          </w:rPr>
          <w:instrText xml:space="preserve"> PAGEREF _Toc184025124 \h </w:instrText>
        </w:r>
        <w:r>
          <w:rPr>
            <w:noProof/>
            <w:webHidden/>
          </w:rPr>
        </w:r>
        <w:r>
          <w:rPr>
            <w:noProof/>
            <w:webHidden/>
          </w:rPr>
          <w:fldChar w:fldCharType="separate"/>
        </w:r>
        <w:r>
          <w:rPr>
            <w:noProof/>
            <w:webHidden/>
          </w:rPr>
          <w:t>6</w:t>
        </w:r>
        <w:r>
          <w:rPr>
            <w:noProof/>
            <w:webHidden/>
          </w:rPr>
          <w:fldChar w:fldCharType="end"/>
        </w:r>
      </w:hyperlink>
    </w:p>
    <w:p w14:paraId="1462DE76" w14:textId="1322C3F0"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5" w:history="1">
        <w:r w:rsidRPr="00BD20D3">
          <w:rPr>
            <w:rStyle w:val="Hyperlink"/>
            <w:noProof/>
            <w:lang w:val="en-US"/>
          </w:rPr>
          <w:t>4.3</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Secondary Assessment:</w:t>
        </w:r>
        <w:r>
          <w:rPr>
            <w:noProof/>
            <w:webHidden/>
          </w:rPr>
          <w:tab/>
        </w:r>
        <w:r>
          <w:rPr>
            <w:noProof/>
            <w:webHidden/>
          </w:rPr>
          <w:fldChar w:fldCharType="begin"/>
        </w:r>
        <w:r>
          <w:rPr>
            <w:noProof/>
            <w:webHidden/>
          </w:rPr>
          <w:instrText xml:space="preserve"> PAGEREF _Toc184025125 \h </w:instrText>
        </w:r>
        <w:r>
          <w:rPr>
            <w:noProof/>
            <w:webHidden/>
          </w:rPr>
        </w:r>
        <w:r>
          <w:rPr>
            <w:noProof/>
            <w:webHidden/>
          </w:rPr>
          <w:fldChar w:fldCharType="separate"/>
        </w:r>
        <w:r>
          <w:rPr>
            <w:noProof/>
            <w:webHidden/>
          </w:rPr>
          <w:t>6</w:t>
        </w:r>
        <w:r>
          <w:rPr>
            <w:noProof/>
            <w:webHidden/>
          </w:rPr>
          <w:fldChar w:fldCharType="end"/>
        </w:r>
      </w:hyperlink>
    </w:p>
    <w:p w14:paraId="2FFD17DB" w14:textId="62FC3DE0"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6" w:history="1">
        <w:r w:rsidRPr="00BD20D3">
          <w:rPr>
            <w:rStyle w:val="Hyperlink"/>
            <w:noProof/>
            <w:lang w:val="en-US"/>
          </w:rPr>
          <w:t>4.4</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VTE Prophylaxis</w:t>
        </w:r>
        <w:r>
          <w:rPr>
            <w:noProof/>
            <w:webHidden/>
          </w:rPr>
          <w:tab/>
        </w:r>
        <w:r>
          <w:rPr>
            <w:noProof/>
            <w:webHidden/>
          </w:rPr>
          <w:fldChar w:fldCharType="begin"/>
        </w:r>
        <w:r>
          <w:rPr>
            <w:noProof/>
            <w:webHidden/>
          </w:rPr>
          <w:instrText xml:space="preserve"> PAGEREF _Toc184025126 \h </w:instrText>
        </w:r>
        <w:r>
          <w:rPr>
            <w:noProof/>
            <w:webHidden/>
          </w:rPr>
        </w:r>
        <w:r>
          <w:rPr>
            <w:noProof/>
            <w:webHidden/>
          </w:rPr>
          <w:fldChar w:fldCharType="separate"/>
        </w:r>
        <w:r>
          <w:rPr>
            <w:noProof/>
            <w:webHidden/>
          </w:rPr>
          <w:t>7</w:t>
        </w:r>
        <w:r>
          <w:rPr>
            <w:noProof/>
            <w:webHidden/>
          </w:rPr>
          <w:fldChar w:fldCharType="end"/>
        </w:r>
      </w:hyperlink>
    </w:p>
    <w:p w14:paraId="1B88EEDF" w14:textId="4132BC97"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27" w:history="1">
        <w:r w:rsidRPr="00BD20D3">
          <w:rPr>
            <w:rStyle w:val="Hyperlink"/>
            <w:noProof/>
            <w:lang w:val="en-US"/>
          </w:rPr>
          <w:t>4.4.1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Indications for prophylaxis consideration in all conditions</w:t>
        </w:r>
        <w:r>
          <w:rPr>
            <w:noProof/>
            <w:webHidden/>
          </w:rPr>
          <w:tab/>
        </w:r>
        <w:r>
          <w:rPr>
            <w:noProof/>
            <w:webHidden/>
          </w:rPr>
          <w:fldChar w:fldCharType="begin"/>
        </w:r>
        <w:r>
          <w:rPr>
            <w:noProof/>
            <w:webHidden/>
          </w:rPr>
          <w:instrText xml:space="preserve"> PAGEREF _Toc184025127 \h </w:instrText>
        </w:r>
        <w:r>
          <w:rPr>
            <w:noProof/>
            <w:webHidden/>
          </w:rPr>
        </w:r>
        <w:r>
          <w:rPr>
            <w:noProof/>
            <w:webHidden/>
          </w:rPr>
          <w:fldChar w:fldCharType="separate"/>
        </w:r>
        <w:r>
          <w:rPr>
            <w:noProof/>
            <w:webHidden/>
          </w:rPr>
          <w:t>7</w:t>
        </w:r>
        <w:r>
          <w:rPr>
            <w:noProof/>
            <w:webHidden/>
          </w:rPr>
          <w:fldChar w:fldCharType="end"/>
        </w:r>
      </w:hyperlink>
    </w:p>
    <w:p w14:paraId="6F40B155" w14:textId="0A7EE3AB"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28" w:history="1">
        <w:r w:rsidRPr="00BD20D3">
          <w:rPr>
            <w:rStyle w:val="Hyperlink"/>
            <w:noProof/>
            <w:lang w:val="en-US"/>
          </w:rPr>
          <w:t>4.5</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General Recommendations Mechanical prophylaxis:</w:t>
        </w:r>
        <w:r>
          <w:rPr>
            <w:noProof/>
            <w:webHidden/>
          </w:rPr>
          <w:tab/>
        </w:r>
        <w:r>
          <w:rPr>
            <w:noProof/>
            <w:webHidden/>
          </w:rPr>
          <w:fldChar w:fldCharType="begin"/>
        </w:r>
        <w:r>
          <w:rPr>
            <w:noProof/>
            <w:webHidden/>
          </w:rPr>
          <w:instrText xml:space="preserve"> PAGEREF _Toc184025128 \h </w:instrText>
        </w:r>
        <w:r>
          <w:rPr>
            <w:noProof/>
            <w:webHidden/>
          </w:rPr>
        </w:r>
        <w:r>
          <w:rPr>
            <w:noProof/>
            <w:webHidden/>
          </w:rPr>
          <w:fldChar w:fldCharType="separate"/>
        </w:r>
        <w:r>
          <w:rPr>
            <w:noProof/>
            <w:webHidden/>
          </w:rPr>
          <w:t>7</w:t>
        </w:r>
        <w:r>
          <w:rPr>
            <w:noProof/>
            <w:webHidden/>
          </w:rPr>
          <w:fldChar w:fldCharType="end"/>
        </w:r>
      </w:hyperlink>
    </w:p>
    <w:p w14:paraId="1FDFFF4B" w14:textId="15C10E20"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29" w:history="1">
        <w:r w:rsidRPr="00BD20D3">
          <w:rPr>
            <w:rStyle w:val="Hyperlink"/>
            <w:noProof/>
            <w:lang w:val="en-US"/>
          </w:rPr>
          <w:t>4.5.1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Contraindications to the use of knee / thigh anti-embolism stockings</w:t>
        </w:r>
        <w:r>
          <w:rPr>
            <w:noProof/>
            <w:webHidden/>
          </w:rPr>
          <w:tab/>
        </w:r>
        <w:r>
          <w:rPr>
            <w:noProof/>
            <w:webHidden/>
          </w:rPr>
          <w:fldChar w:fldCharType="begin"/>
        </w:r>
        <w:r>
          <w:rPr>
            <w:noProof/>
            <w:webHidden/>
          </w:rPr>
          <w:instrText xml:space="preserve"> PAGEREF _Toc184025129 \h </w:instrText>
        </w:r>
        <w:r>
          <w:rPr>
            <w:noProof/>
            <w:webHidden/>
          </w:rPr>
        </w:r>
        <w:r>
          <w:rPr>
            <w:noProof/>
            <w:webHidden/>
          </w:rPr>
          <w:fldChar w:fldCharType="separate"/>
        </w:r>
        <w:r>
          <w:rPr>
            <w:noProof/>
            <w:webHidden/>
          </w:rPr>
          <w:t>8</w:t>
        </w:r>
        <w:r>
          <w:rPr>
            <w:noProof/>
            <w:webHidden/>
          </w:rPr>
          <w:fldChar w:fldCharType="end"/>
        </w:r>
      </w:hyperlink>
    </w:p>
    <w:p w14:paraId="6F51ABFF" w14:textId="7BEA85CA"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30" w:history="1">
        <w:r w:rsidRPr="00BD20D3">
          <w:rPr>
            <w:rStyle w:val="Hyperlink"/>
            <w:noProof/>
            <w:lang w:val="en-US"/>
          </w:rPr>
          <w:t>4.5.2</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General recommendations for pharmacological prophylaxis</w:t>
        </w:r>
        <w:r>
          <w:rPr>
            <w:noProof/>
            <w:webHidden/>
          </w:rPr>
          <w:tab/>
        </w:r>
        <w:r>
          <w:rPr>
            <w:noProof/>
            <w:webHidden/>
          </w:rPr>
          <w:fldChar w:fldCharType="begin"/>
        </w:r>
        <w:r>
          <w:rPr>
            <w:noProof/>
            <w:webHidden/>
          </w:rPr>
          <w:instrText xml:space="preserve"> PAGEREF _Toc184025130 \h </w:instrText>
        </w:r>
        <w:r>
          <w:rPr>
            <w:noProof/>
            <w:webHidden/>
          </w:rPr>
        </w:r>
        <w:r>
          <w:rPr>
            <w:noProof/>
            <w:webHidden/>
          </w:rPr>
          <w:fldChar w:fldCharType="separate"/>
        </w:r>
        <w:r>
          <w:rPr>
            <w:noProof/>
            <w:webHidden/>
          </w:rPr>
          <w:t>8</w:t>
        </w:r>
        <w:r>
          <w:rPr>
            <w:noProof/>
            <w:webHidden/>
          </w:rPr>
          <w:fldChar w:fldCharType="end"/>
        </w:r>
      </w:hyperlink>
    </w:p>
    <w:p w14:paraId="2B4047FB" w14:textId="2B252D2B"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31" w:history="1">
        <w:r w:rsidRPr="00BD20D3">
          <w:rPr>
            <w:rStyle w:val="Hyperlink"/>
            <w:noProof/>
            <w:lang w:val="en-US"/>
          </w:rPr>
          <w:t>4.5.3</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Contraindications to pharmacological prophylaxis</w:t>
        </w:r>
        <w:r>
          <w:rPr>
            <w:noProof/>
            <w:webHidden/>
          </w:rPr>
          <w:tab/>
        </w:r>
        <w:r>
          <w:rPr>
            <w:noProof/>
            <w:webHidden/>
          </w:rPr>
          <w:fldChar w:fldCharType="begin"/>
        </w:r>
        <w:r>
          <w:rPr>
            <w:noProof/>
            <w:webHidden/>
          </w:rPr>
          <w:instrText xml:space="preserve"> PAGEREF _Toc184025131 \h </w:instrText>
        </w:r>
        <w:r>
          <w:rPr>
            <w:noProof/>
            <w:webHidden/>
          </w:rPr>
        </w:r>
        <w:r>
          <w:rPr>
            <w:noProof/>
            <w:webHidden/>
          </w:rPr>
          <w:fldChar w:fldCharType="separate"/>
        </w:r>
        <w:r>
          <w:rPr>
            <w:noProof/>
            <w:webHidden/>
          </w:rPr>
          <w:t>10</w:t>
        </w:r>
        <w:r>
          <w:rPr>
            <w:noProof/>
            <w:webHidden/>
          </w:rPr>
          <w:fldChar w:fldCharType="end"/>
        </w:r>
      </w:hyperlink>
    </w:p>
    <w:p w14:paraId="5C1622DA" w14:textId="0D09F693"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32" w:history="1">
        <w:r w:rsidRPr="00BD20D3">
          <w:rPr>
            <w:rStyle w:val="Hyperlink"/>
            <w:noProof/>
            <w:lang w:val="en-US"/>
          </w:rPr>
          <w:t>4.6</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Dosing of Enoxaparin</w:t>
        </w:r>
        <w:r>
          <w:rPr>
            <w:noProof/>
            <w:webHidden/>
          </w:rPr>
          <w:tab/>
        </w:r>
        <w:r>
          <w:rPr>
            <w:noProof/>
            <w:webHidden/>
          </w:rPr>
          <w:fldChar w:fldCharType="begin"/>
        </w:r>
        <w:r>
          <w:rPr>
            <w:noProof/>
            <w:webHidden/>
          </w:rPr>
          <w:instrText xml:space="preserve"> PAGEREF _Toc184025132 \h </w:instrText>
        </w:r>
        <w:r>
          <w:rPr>
            <w:noProof/>
            <w:webHidden/>
          </w:rPr>
        </w:r>
        <w:r>
          <w:rPr>
            <w:noProof/>
            <w:webHidden/>
          </w:rPr>
          <w:fldChar w:fldCharType="separate"/>
        </w:r>
        <w:r>
          <w:rPr>
            <w:noProof/>
            <w:webHidden/>
          </w:rPr>
          <w:t>11</w:t>
        </w:r>
        <w:r>
          <w:rPr>
            <w:noProof/>
            <w:webHidden/>
          </w:rPr>
          <w:fldChar w:fldCharType="end"/>
        </w:r>
      </w:hyperlink>
    </w:p>
    <w:p w14:paraId="5843E7A6" w14:textId="48D1ECB8"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33" w:history="1">
        <w:r w:rsidRPr="00BD20D3">
          <w:rPr>
            <w:rStyle w:val="Hyperlink"/>
            <w:noProof/>
            <w:lang w:val="en-US"/>
          </w:rPr>
          <w:t>4.6.1</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Monitoring</w:t>
        </w:r>
        <w:r>
          <w:rPr>
            <w:noProof/>
            <w:webHidden/>
          </w:rPr>
          <w:tab/>
        </w:r>
        <w:r>
          <w:rPr>
            <w:noProof/>
            <w:webHidden/>
          </w:rPr>
          <w:fldChar w:fldCharType="begin"/>
        </w:r>
        <w:r>
          <w:rPr>
            <w:noProof/>
            <w:webHidden/>
          </w:rPr>
          <w:instrText xml:space="preserve"> PAGEREF _Toc184025133 \h </w:instrText>
        </w:r>
        <w:r>
          <w:rPr>
            <w:noProof/>
            <w:webHidden/>
          </w:rPr>
        </w:r>
        <w:r>
          <w:rPr>
            <w:noProof/>
            <w:webHidden/>
          </w:rPr>
          <w:fldChar w:fldCharType="separate"/>
        </w:r>
        <w:r>
          <w:rPr>
            <w:noProof/>
            <w:webHidden/>
          </w:rPr>
          <w:t>11</w:t>
        </w:r>
        <w:r>
          <w:rPr>
            <w:noProof/>
            <w:webHidden/>
          </w:rPr>
          <w:fldChar w:fldCharType="end"/>
        </w:r>
      </w:hyperlink>
    </w:p>
    <w:p w14:paraId="401ABF12" w14:textId="2789FF2E"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34" w:history="1">
        <w:r w:rsidRPr="00BD20D3">
          <w:rPr>
            <w:rStyle w:val="Hyperlink"/>
            <w:noProof/>
            <w:lang w:val="en-US"/>
          </w:rPr>
          <w:t>4.6.2</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Duration of Thromboprophylaxis</w:t>
        </w:r>
        <w:r>
          <w:rPr>
            <w:noProof/>
            <w:webHidden/>
          </w:rPr>
          <w:tab/>
        </w:r>
        <w:r>
          <w:rPr>
            <w:noProof/>
            <w:webHidden/>
          </w:rPr>
          <w:fldChar w:fldCharType="begin"/>
        </w:r>
        <w:r>
          <w:rPr>
            <w:noProof/>
            <w:webHidden/>
          </w:rPr>
          <w:instrText xml:space="preserve"> PAGEREF _Toc184025134 \h </w:instrText>
        </w:r>
        <w:r>
          <w:rPr>
            <w:noProof/>
            <w:webHidden/>
          </w:rPr>
        </w:r>
        <w:r>
          <w:rPr>
            <w:noProof/>
            <w:webHidden/>
          </w:rPr>
          <w:fldChar w:fldCharType="separate"/>
        </w:r>
        <w:r>
          <w:rPr>
            <w:noProof/>
            <w:webHidden/>
          </w:rPr>
          <w:t>11</w:t>
        </w:r>
        <w:r>
          <w:rPr>
            <w:noProof/>
            <w:webHidden/>
          </w:rPr>
          <w:fldChar w:fldCharType="end"/>
        </w:r>
      </w:hyperlink>
    </w:p>
    <w:p w14:paraId="5D20E15D" w14:textId="76744DF8" w:rsidR="0015652B" w:rsidRDefault="0015652B">
      <w:pPr>
        <w:pStyle w:val="TOC3"/>
        <w:rPr>
          <w:rFonts w:asciiTheme="minorHAnsi" w:eastAsiaTheme="minorEastAsia" w:hAnsiTheme="minorHAnsi" w:cstheme="minorBidi"/>
          <w:bCs w:val="0"/>
          <w:noProof/>
          <w:kern w:val="2"/>
          <w:sz w:val="22"/>
          <w:szCs w:val="22"/>
          <w:lang w:eastAsia="en-GB"/>
          <w14:ligatures w14:val="standardContextual"/>
        </w:rPr>
      </w:pPr>
      <w:hyperlink w:anchor="_Toc184025135" w:history="1">
        <w:r w:rsidRPr="00BD20D3">
          <w:rPr>
            <w:rStyle w:val="Hyperlink"/>
            <w:noProof/>
            <w:lang w:val="en-US"/>
          </w:rPr>
          <w:t>4.6.3</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Monitoring of LMWH therapy following discharge following discharge</w:t>
        </w:r>
        <w:r>
          <w:rPr>
            <w:noProof/>
            <w:webHidden/>
          </w:rPr>
          <w:tab/>
        </w:r>
        <w:r>
          <w:rPr>
            <w:noProof/>
            <w:webHidden/>
          </w:rPr>
          <w:fldChar w:fldCharType="begin"/>
        </w:r>
        <w:r>
          <w:rPr>
            <w:noProof/>
            <w:webHidden/>
          </w:rPr>
          <w:instrText xml:space="preserve"> PAGEREF _Toc184025135 \h </w:instrText>
        </w:r>
        <w:r>
          <w:rPr>
            <w:noProof/>
            <w:webHidden/>
          </w:rPr>
        </w:r>
        <w:r>
          <w:rPr>
            <w:noProof/>
            <w:webHidden/>
          </w:rPr>
          <w:fldChar w:fldCharType="separate"/>
        </w:r>
        <w:r>
          <w:rPr>
            <w:noProof/>
            <w:webHidden/>
          </w:rPr>
          <w:t>12</w:t>
        </w:r>
        <w:r>
          <w:rPr>
            <w:noProof/>
            <w:webHidden/>
          </w:rPr>
          <w:fldChar w:fldCharType="end"/>
        </w:r>
      </w:hyperlink>
    </w:p>
    <w:p w14:paraId="5172A618" w14:textId="63EA7444"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36" w:history="1">
        <w:r w:rsidRPr="00BD20D3">
          <w:rPr>
            <w:rStyle w:val="Hyperlink"/>
            <w:noProof/>
            <w:lang w:val="en-US"/>
          </w:rPr>
          <w:t>4.7</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Patients requiring District Nurse follow up</w:t>
        </w:r>
        <w:r>
          <w:rPr>
            <w:noProof/>
            <w:webHidden/>
          </w:rPr>
          <w:tab/>
        </w:r>
        <w:r>
          <w:rPr>
            <w:noProof/>
            <w:webHidden/>
          </w:rPr>
          <w:fldChar w:fldCharType="begin"/>
        </w:r>
        <w:r>
          <w:rPr>
            <w:noProof/>
            <w:webHidden/>
          </w:rPr>
          <w:instrText xml:space="preserve"> PAGEREF _Toc184025136 \h </w:instrText>
        </w:r>
        <w:r>
          <w:rPr>
            <w:noProof/>
            <w:webHidden/>
          </w:rPr>
        </w:r>
        <w:r>
          <w:rPr>
            <w:noProof/>
            <w:webHidden/>
          </w:rPr>
          <w:fldChar w:fldCharType="separate"/>
        </w:r>
        <w:r>
          <w:rPr>
            <w:noProof/>
            <w:webHidden/>
          </w:rPr>
          <w:t>12</w:t>
        </w:r>
        <w:r>
          <w:rPr>
            <w:noProof/>
            <w:webHidden/>
          </w:rPr>
          <w:fldChar w:fldCharType="end"/>
        </w:r>
      </w:hyperlink>
    </w:p>
    <w:p w14:paraId="365AC37B" w14:textId="4CF852EB"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37" w:history="1">
        <w:r w:rsidRPr="00BD20D3">
          <w:rPr>
            <w:rStyle w:val="Hyperlink"/>
            <w:noProof/>
            <w:lang w:val="en-US"/>
          </w:rPr>
          <w:t>4.8</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Reporting of confirmed hospital attributed VTE</w:t>
        </w:r>
        <w:r>
          <w:rPr>
            <w:noProof/>
            <w:webHidden/>
          </w:rPr>
          <w:tab/>
        </w:r>
        <w:r>
          <w:rPr>
            <w:noProof/>
            <w:webHidden/>
          </w:rPr>
          <w:fldChar w:fldCharType="begin"/>
        </w:r>
        <w:r>
          <w:rPr>
            <w:noProof/>
            <w:webHidden/>
          </w:rPr>
          <w:instrText xml:space="preserve"> PAGEREF _Toc184025137 \h </w:instrText>
        </w:r>
        <w:r>
          <w:rPr>
            <w:noProof/>
            <w:webHidden/>
          </w:rPr>
        </w:r>
        <w:r>
          <w:rPr>
            <w:noProof/>
            <w:webHidden/>
          </w:rPr>
          <w:fldChar w:fldCharType="separate"/>
        </w:r>
        <w:r>
          <w:rPr>
            <w:noProof/>
            <w:webHidden/>
          </w:rPr>
          <w:t>13</w:t>
        </w:r>
        <w:r>
          <w:rPr>
            <w:noProof/>
            <w:webHidden/>
          </w:rPr>
          <w:fldChar w:fldCharType="end"/>
        </w:r>
      </w:hyperlink>
    </w:p>
    <w:p w14:paraId="530A1A94" w14:textId="32E3E0CE"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38" w:history="1">
        <w:r w:rsidRPr="00BD20D3">
          <w:rPr>
            <w:rStyle w:val="Hyperlink"/>
            <w:noProof/>
            <w:lang w:val="en-US"/>
          </w:rPr>
          <w:t>4.9</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Recording VTE or Hospital attributed VTE within the patient’s records</w:t>
        </w:r>
        <w:r>
          <w:rPr>
            <w:noProof/>
            <w:webHidden/>
          </w:rPr>
          <w:tab/>
        </w:r>
        <w:r>
          <w:rPr>
            <w:noProof/>
            <w:webHidden/>
          </w:rPr>
          <w:fldChar w:fldCharType="begin"/>
        </w:r>
        <w:r>
          <w:rPr>
            <w:noProof/>
            <w:webHidden/>
          </w:rPr>
          <w:instrText xml:space="preserve"> PAGEREF _Toc184025138 \h </w:instrText>
        </w:r>
        <w:r>
          <w:rPr>
            <w:noProof/>
            <w:webHidden/>
          </w:rPr>
        </w:r>
        <w:r>
          <w:rPr>
            <w:noProof/>
            <w:webHidden/>
          </w:rPr>
          <w:fldChar w:fldCharType="separate"/>
        </w:r>
        <w:r>
          <w:rPr>
            <w:noProof/>
            <w:webHidden/>
          </w:rPr>
          <w:t>13</w:t>
        </w:r>
        <w:r>
          <w:rPr>
            <w:noProof/>
            <w:webHidden/>
          </w:rPr>
          <w:fldChar w:fldCharType="end"/>
        </w:r>
      </w:hyperlink>
    </w:p>
    <w:p w14:paraId="45AA71E3" w14:textId="3BF4A245" w:rsidR="0015652B" w:rsidRDefault="0015652B">
      <w:pPr>
        <w:pStyle w:val="TOC2"/>
        <w:rPr>
          <w:rFonts w:asciiTheme="minorHAnsi" w:eastAsiaTheme="minorEastAsia" w:hAnsiTheme="minorHAnsi" w:cstheme="minorBidi"/>
          <w:bCs w:val="0"/>
          <w:noProof/>
          <w:kern w:val="2"/>
          <w:sz w:val="22"/>
          <w:szCs w:val="22"/>
          <w:lang w:eastAsia="en-GB"/>
          <w14:ligatures w14:val="standardContextual"/>
        </w:rPr>
      </w:pPr>
      <w:hyperlink w:anchor="_Toc184025139" w:history="1">
        <w:r w:rsidRPr="00BD20D3">
          <w:rPr>
            <w:rStyle w:val="Hyperlink"/>
            <w:noProof/>
            <w:lang w:val="en-US"/>
          </w:rPr>
          <w:t>4.10</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lang w:val="en-US"/>
          </w:rPr>
          <w:t>Audit inclusion / exclusion criteria</w:t>
        </w:r>
        <w:r>
          <w:rPr>
            <w:noProof/>
            <w:webHidden/>
          </w:rPr>
          <w:tab/>
        </w:r>
        <w:r>
          <w:rPr>
            <w:noProof/>
            <w:webHidden/>
          </w:rPr>
          <w:fldChar w:fldCharType="begin"/>
        </w:r>
        <w:r>
          <w:rPr>
            <w:noProof/>
            <w:webHidden/>
          </w:rPr>
          <w:instrText xml:space="preserve"> PAGEREF _Toc184025139 \h </w:instrText>
        </w:r>
        <w:r>
          <w:rPr>
            <w:noProof/>
            <w:webHidden/>
          </w:rPr>
        </w:r>
        <w:r>
          <w:rPr>
            <w:noProof/>
            <w:webHidden/>
          </w:rPr>
          <w:fldChar w:fldCharType="separate"/>
        </w:r>
        <w:r>
          <w:rPr>
            <w:noProof/>
            <w:webHidden/>
          </w:rPr>
          <w:t>13</w:t>
        </w:r>
        <w:r>
          <w:rPr>
            <w:noProof/>
            <w:webHidden/>
          </w:rPr>
          <w:fldChar w:fldCharType="end"/>
        </w:r>
      </w:hyperlink>
    </w:p>
    <w:p w14:paraId="36DFEE4D" w14:textId="2F58E63B"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40" w:history="1">
        <w:r w:rsidRPr="00BD20D3">
          <w:rPr>
            <w:rStyle w:val="Hyperlink"/>
            <w:noProof/>
          </w:rPr>
          <w:t>5</w:t>
        </w:r>
        <w:r>
          <w:rPr>
            <w:rFonts w:asciiTheme="minorHAnsi" w:eastAsiaTheme="minorEastAsia" w:hAnsiTheme="minorHAnsi" w:cstheme="minorBidi"/>
            <w:bCs w:val="0"/>
            <w:noProof/>
            <w:kern w:val="2"/>
            <w:sz w:val="22"/>
            <w:szCs w:val="22"/>
            <w:lang w:eastAsia="en-GB"/>
            <w14:ligatures w14:val="standardContextual"/>
          </w:rPr>
          <w:tab/>
        </w:r>
        <w:r w:rsidRPr="00BD20D3">
          <w:rPr>
            <w:rStyle w:val="Hyperlink"/>
            <w:noProof/>
          </w:rPr>
          <w:t>References and Associated Documents</w:t>
        </w:r>
        <w:r>
          <w:rPr>
            <w:noProof/>
            <w:webHidden/>
          </w:rPr>
          <w:tab/>
        </w:r>
        <w:r>
          <w:rPr>
            <w:noProof/>
            <w:webHidden/>
          </w:rPr>
          <w:fldChar w:fldCharType="begin"/>
        </w:r>
        <w:r>
          <w:rPr>
            <w:noProof/>
            <w:webHidden/>
          </w:rPr>
          <w:instrText xml:space="preserve"> PAGEREF _Toc184025140 \h </w:instrText>
        </w:r>
        <w:r>
          <w:rPr>
            <w:noProof/>
            <w:webHidden/>
          </w:rPr>
        </w:r>
        <w:r>
          <w:rPr>
            <w:noProof/>
            <w:webHidden/>
          </w:rPr>
          <w:fldChar w:fldCharType="separate"/>
        </w:r>
        <w:r>
          <w:rPr>
            <w:noProof/>
            <w:webHidden/>
          </w:rPr>
          <w:t>14</w:t>
        </w:r>
        <w:r>
          <w:rPr>
            <w:noProof/>
            <w:webHidden/>
          </w:rPr>
          <w:fldChar w:fldCharType="end"/>
        </w:r>
      </w:hyperlink>
    </w:p>
    <w:p w14:paraId="47C5DBD6" w14:textId="74F8ED92"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41" w:history="1">
        <w:r w:rsidRPr="00BD20D3">
          <w:rPr>
            <w:rStyle w:val="Hyperlink"/>
            <w:noProof/>
          </w:rPr>
          <w:t>Appendix 1: Admission Documentation – Inpatient – Medical / Surgical Patient (3)</w:t>
        </w:r>
        <w:r>
          <w:rPr>
            <w:noProof/>
            <w:webHidden/>
          </w:rPr>
          <w:tab/>
        </w:r>
        <w:r>
          <w:rPr>
            <w:noProof/>
            <w:webHidden/>
          </w:rPr>
          <w:fldChar w:fldCharType="begin"/>
        </w:r>
        <w:r>
          <w:rPr>
            <w:noProof/>
            <w:webHidden/>
          </w:rPr>
          <w:instrText xml:space="preserve"> PAGEREF _Toc184025141 \h </w:instrText>
        </w:r>
        <w:r>
          <w:rPr>
            <w:noProof/>
            <w:webHidden/>
          </w:rPr>
        </w:r>
        <w:r>
          <w:rPr>
            <w:noProof/>
            <w:webHidden/>
          </w:rPr>
          <w:fldChar w:fldCharType="separate"/>
        </w:r>
        <w:r>
          <w:rPr>
            <w:noProof/>
            <w:webHidden/>
          </w:rPr>
          <w:t>16</w:t>
        </w:r>
        <w:r>
          <w:rPr>
            <w:noProof/>
            <w:webHidden/>
          </w:rPr>
          <w:fldChar w:fldCharType="end"/>
        </w:r>
      </w:hyperlink>
    </w:p>
    <w:p w14:paraId="0C8F6EBF" w14:textId="13C50E66" w:rsidR="0015652B" w:rsidRDefault="0015652B">
      <w:pPr>
        <w:pStyle w:val="TOC1"/>
        <w:rPr>
          <w:rFonts w:asciiTheme="minorHAnsi" w:eastAsiaTheme="minorEastAsia" w:hAnsiTheme="minorHAnsi" w:cstheme="minorBidi"/>
          <w:bCs w:val="0"/>
          <w:noProof/>
          <w:kern w:val="2"/>
          <w:sz w:val="22"/>
          <w:szCs w:val="22"/>
          <w:lang w:eastAsia="en-GB"/>
          <w14:ligatures w14:val="standardContextual"/>
        </w:rPr>
      </w:pPr>
      <w:hyperlink w:anchor="_Toc184025142" w:history="1">
        <w:r w:rsidRPr="00BD20D3">
          <w:rPr>
            <w:rStyle w:val="Hyperlink"/>
            <w:noProof/>
          </w:rPr>
          <w:t>Appendix 2: Equality Impact Assessment Form</w:t>
        </w:r>
        <w:r>
          <w:rPr>
            <w:noProof/>
            <w:webHidden/>
          </w:rPr>
          <w:tab/>
        </w:r>
        <w:r>
          <w:rPr>
            <w:noProof/>
            <w:webHidden/>
          </w:rPr>
          <w:fldChar w:fldCharType="begin"/>
        </w:r>
        <w:r>
          <w:rPr>
            <w:noProof/>
            <w:webHidden/>
          </w:rPr>
          <w:instrText xml:space="preserve"> PAGEREF _Toc184025142 \h </w:instrText>
        </w:r>
        <w:r>
          <w:rPr>
            <w:noProof/>
            <w:webHidden/>
          </w:rPr>
        </w:r>
        <w:r>
          <w:rPr>
            <w:noProof/>
            <w:webHidden/>
          </w:rPr>
          <w:fldChar w:fldCharType="separate"/>
        </w:r>
        <w:r>
          <w:rPr>
            <w:noProof/>
            <w:webHidden/>
          </w:rPr>
          <w:t>17</w:t>
        </w:r>
        <w:r>
          <w:rPr>
            <w:noProof/>
            <w:webHidden/>
          </w:rPr>
          <w:fldChar w:fldCharType="end"/>
        </w:r>
      </w:hyperlink>
    </w:p>
    <w:p w14:paraId="4B33D771" w14:textId="75984C3B" w:rsidR="00523981" w:rsidRDefault="00CF74FF" w:rsidP="00E8665D">
      <w:r>
        <w:fldChar w:fldCharType="end"/>
      </w:r>
    </w:p>
    <w:p w14:paraId="4B33D774" w14:textId="77777777" w:rsidR="006A3EE4" w:rsidRDefault="006A3EE4">
      <w:r>
        <w:br w:type="page"/>
      </w:r>
    </w:p>
    <w:p w14:paraId="4B33D775" w14:textId="78E00DA0" w:rsidR="00264E04" w:rsidRPr="00C40351" w:rsidRDefault="009B3F14" w:rsidP="00BD691F">
      <w:pPr>
        <w:pStyle w:val="Heading1"/>
      </w:pPr>
      <w:bookmarkStart w:id="4" w:name="_Toc184025116"/>
      <w:r>
        <w:lastRenderedPageBreak/>
        <w:t xml:space="preserve">Introduction / </w:t>
      </w:r>
      <w:r w:rsidR="00D16C01">
        <w:t>Purpose</w:t>
      </w:r>
      <w:bookmarkEnd w:id="4"/>
    </w:p>
    <w:p w14:paraId="4B33D776" w14:textId="77777777" w:rsidR="00D16C01" w:rsidRDefault="00D16C01"/>
    <w:p w14:paraId="72593306" w14:textId="77777777" w:rsidR="00FA7DB2" w:rsidRPr="00FA7DB2" w:rsidRDefault="00FA7DB2" w:rsidP="00FA7DB2">
      <w:r w:rsidRPr="00FA7DB2">
        <w:t>The aim of this guideline is to ensure the prevention of venous thromboembolism (VTE) in Medical and Surgical inpatients (16 years +) and includes those patients requiring lower limb plaster casts / immobilisations as outpatients (16 years +) according to current best practice.</w:t>
      </w:r>
    </w:p>
    <w:p w14:paraId="6307522E" w14:textId="77777777" w:rsidR="00FA7DB2" w:rsidRPr="00FA7DB2" w:rsidRDefault="00FA7DB2" w:rsidP="00FA7DB2"/>
    <w:p w14:paraId="2AE8A938" w14:textId="77777777" w:rsidR="00FA7DB2" w:rsidRPr="00FA7DB2" w:rsidRDefault="00FA7DB2" w:rsidP="00FA7DB2">
      <w:r w:rsidRPr="00FA7DB2">
        <w:t>The prevention of Deep Vein Thrombosis and Pulmonary Embolism is important since they are associated with considerable acute morbidity, mortality and long term clinical and financial sequelae.</w:t>
      </w:r>
    </w:p>
    <w:p w14:paraId="3AB0A282" w14:textId="77777777" w:rsidR="00FA7DB2" w:rsidRPr="00FA7DB2" w:rsidRDefault="00FA7DB2" w:rsidP="00FA7DB2"/>
    <w:p w14:paraId="255734E9" w14:textId="77777777" w:rsidR="00FA7DB2" w:rsidRPr="00FA7DB2" w:rsidRDefault="00FA7DB2" w:rsidP="00FA7DB2">
      <w:r w:rsidRPr="00FA7DB2">
        <w:t>Please ensure that any local and specialty guidance is referred to regarding prophylaxis management and duration.</w:t>
      </w:r>
    </w:p>
    <w:p w14:paraId="4B33D77D" w14:textId="77777777" w:rsidR="005F2048" w:rsidRDefault="005F2048"/>
    <w:p w14:paraId="4B33D77E" w14:textId="7F261A38" w:rsidR="00264E04" w:rsidRPr="00C40351" w:rsidRDefault="009B3F14" w:rsidP="00BD691F">
      <w:pPr>
        <w:pStyle w:val="Heading1"/>
      </w:pPr>
      <w:bookmarkStart w:id="5" w:name="_Toc184025117"/>
      <w:r>
        <w:t xml:space="preserve">General Principles / </w:t>
      </w:r>
      <w:r w:rsidR="00D16C01">
        <w:t>Target Audience</w:t>
      </w:r>
      <w:bookmarkEnd w:id="5"/>
    </w:p>
    <w:p w14:paraId="4B33D77F" w14:textId="77777777" w:rsidR="00D16C01" w:rsidRDefault="00D16C01" w:rsidP="005B4CC2">
      <w:pPr>
        <w:pStyle w:val="BodyText2"/>
        <w:rPr>
          <w:rFonts w:cs="Arial"/>
          <w:szCs w:val="24"/>
          <w:lang w:val="en-US"/>
        </w:rPr>
      </w:pPr>
    </w:p>
    <w:p w14:paraId="6D086734" w14:textId="39BD184F" w:rsidR="002E006F" w:rsidRPr="002E006F" w:rsidRDefault="002E006F" w:rsidP="002E006F">
      <w:pPr>
        <w:pStyle w:val="Heading2"/>
        <w:rPr>
          <w:lang w:val="en-US"/>
        </w:rPr>
      </w:pPr>
      <w:bookmarkStart w:id="6" w:name="_Toc535239211"/>
      <w:bookmarkStart w:id="7" w:name="_Toc8738266"/>
      <w:bookmarkStart w:id="8" w:name="_Toc184025118"/>
      <w:r w:rsidRPr="002E006F">
        <w:rPr>
          <w:lang w:val="en-US"/>
        </w:rPr>
        <w:t>Staff</w:t>
      </w:r>
      <w:bookmarkEnd w:id="6"/>
      <w:bookmarkEnd w:id="7"/>
      <w:bookmarkEnd w:id="8"/>
    </w:p>
    <w:p w14:paraId="766C2515" w14:textId="77777777" w:rsidR="002E006F" w:rsidRPr="002E006F" w:rsidRDefault="002E006F" w:rsidP="002E006F">
      <w:pPr>
        <w:pStyle w:val="BodyText2"/>
        <w:rPr>
          <w:rFonts w:cs="Arial"/>
          <w:szCs w:val="24"/>
          <w:lang w:val="en-US"/>
        </w:rPr>
      </w:pPr>
    </w:p>
    <w:p w14:paraId="2DD785C0" w14:textId="2448B651" w:rsidR="002E006F" w:rsidRPr="002E006F" w:rsidRDefault="002E006F" w:rsidP="002E006F">
      <w:pPr>
        <w:pStyle w:val="BodyText2"/>
        <w:rPr>
          <w:rFonts w:cs="Arial"/>
          <w:szCs w:val="24"/>
          <w:lang w:val="en-US"/>
        </w:rPr>
      </w:pPr>
      <w:r w:rsidRPr="002E006F">
        <w:rPr>
          <w:rFonts w:cs="Arial"/>
          <w:szCs w:val="24"/>
          <w:lang w:val="en-US"/>
        </w:rPr>
        <w:t xml:space="preserve">The guideline mirrors Venous Thromboembolism </w:t>
      </w:r>
      <w:hyperlink r:id="rId12" w:history="1">
        <w:r w:rsidRPr="002E006F">
          <w:rPr>
            <w:rStyle w:val="Hyperlink"/>
            <w:rFonts w:cs="Arial"/>
            <w:szCs w:val="24"/>
            <w:lang w:val="en-US"/>
          </w:rPr>
          <w:t xml:space="preserve">NICE Guidance CG89 </w:t>
        </w:r>
      </w:hyperlink>
      <w:sdt>
        <w:sdtPr>
          <w:rPr>
            <w:rFonts w:cs="Arial"/>
            <w:szCs w:val="24"/>
            <w:lang w:val="en-US"/>
          </w:rPr>
          <w:id w:val="572312503"/>
          <w:citation/>
        </w:sdtPr>
        <w:sdtEndPr/>
        <w:sdtContent>
          <w:r w:rsidR="00465FA1">
            <w:rPr>
              <w:rFonts w:cs="Arial"/>
              <w:szCs w:val="24"/>
              <w:lang w:val="en-US"/>
            </w:rPr>
            <w:fldChar w:fldCharType="begin"/>
          </w:r>
          <w:r w:rsidR="00814999">
            <w:rPr>
              <w:rFonts w:cs="Arial"/>
              <w:szCs w:val="24"/>
            </w:rPr>
            <w:instrText xml:space="preserve">CITATION NIC184 \l 2057 </w:instrText>
          </w:r>
          <w:r w:rsidR="00465FA1">
            <w:rPr>
              <w:rFonts w:cs="Arial"/>
              <w:szCs w:val="24"/>
              <w:lang w:val="en-US"/>
            </w:rPr>
            <w:fldChar w:fldCharType="separate"/>
          </w:r>
          <w:r w:rsidR="009233AA">
            <w:rPr>
              <w:rFonts w:cs="Arial"/>
              <w:noProof/>
              <w:szCs w:val="24"/>
            </w:rPr>
            <w:t xml:space="preserve"> </w:t>
          </w:r>
          <w:r w:rsidR="009233AA" w:rsidRPr="009233AA">
            <w:rPr>
              <w:rFonts w:cs="Arial"/>
              <w:noProof/>
              <w:szCs w:val="24"/>
            </w:rPr>
            <w:t>(1)</w:t>
          </w:r>
          <w:r w:rsidR="00465FA1">
            <w:rPr>
              <w:rFonts w:cs="Arial"/>
              <w:szCs w:val="24"/>
              <w:lang w:val="en-US"/>
            </w:rPr>
            <w:fldChar w:fldCharType="end"/>
          </w:r>
        </w:sdtContent>
      </w:sdt>
      <w:r w:rsidR="00465FA1">
        <w:rPr>
          <w:rFonts w:cs="Arial"/>
          <w:szCs w:val="24"/>
          <w:lang w:val="en-US"/>
        </w:rPr>
        <w:t xml:space="preserve"> </w:t>
      </w:r>
      <w:r w:rsidRPr="002E006F">
        <w:rPr>
          <w:rFonts w:cs="Arial"/>
          <w:szCs w:val="24"/>
          <w:lang w:val="en-US"/>
        </w:rPr>
        <w:t>and applies to all doctors, nurses and pharmacists working across the Trust.</w:t>
      </w:r>
    </w:p>
    <w:p w14:paraId="4032D89D" w14:textId="77777777" w:rsidR="002E006F" w:rsidRPr="002E006F" w:rsidRDefault="002E006F" w:rsidP="002E006F">
      <w:pPr>
        <w:pStyle w:val="BodyText2"/>
        <w:rPr>
          <w:rFonts w:cs="Arial"/>
          <w:szCs w:val="24"/>
          <w:lang w:val="en-US"/>
        </w:rPr>
      </w:pPr>
    </w:p>
    <w:p w14:paraId="79ACCBE9" w14:textId="77777777" w:rsidR="002E006F" w:rsidRPr="002E006F" w:rsidRDefault="002E006F" w:rsidP="002E006F">
      <w:pPr>
        <w:pStyle w:val="Heading2"/>
        <w:rPr>
          <w:lang w:val="en-US"/>
        </w:rPr>
      </w:pPr>
      <w:bookmarkStart w:id="9" w:name="_Toc535239212"/>
      <w:bookmarkStart w:id="10" w:name="_Toc8738267"/>
      <w:bookmarkStart w:id="11" w:name="_Toc184025119"/>
      <w:r w:rsidRPr="002E006F">
        <w:rPr>
          <w:lang w:val="en-US"/>
        </w:rPr>
        <w:t>Service Users within scope</w:t>
      </w:r>
      <w:bookmarkEnd w:id="9"/>
      <w:bookmarkEnd w:id="10"/>
      <w:bookmarkEnd w:id="11"/>
    </w:p>
    <w:p w14:paraId="7517916B" w14:textId="77777777" w:rsidR="002E006F" w:rsidRPr="002E006F" w:rsidRDefault="002E006F" w:rsidP="002E006F">
      <w:pPr>
        <w:pStyle w:val="BodyText2"/>
        <w:rPr>
          <w:rFonts w:cs="Arial"/>
          <w:b/>
          <w:szCs w:val="24"/>
          <w:lang w:val="en-US"/>
        </w:rPr>
      </w:pPr>
    </w:p>
    <w:p w14:paraId="2432A5BE" w14:textId="77777777" w:rsidR="002E006F" w:rsidRPr="002E006F" w:rsidRDefault="002E006F" w:rsidP="002E006F">
      <w:pPr>
        <w:pStyle w:val="BodyText2"/>
        <w:rPr>
          <w:rFonts w:cs="Arial"/>
          <w:szCs w:val="24"/>
          <w:lang w:val="en-US"/>
        </w:rPr>
      </w:pPr>
      <w:r w:rsidRPr="002E006F">
        <w:rPr>
          <w:rFonts w:cs="Arial"/>
          <w:szCs w:val="24"/>
          <w:lang w:val="en-US"/>
        </w:rPr>
        <w:t xml:space="preserve">Service Users within scope for audit data collection are adults who are admitted to hospital as inpatients, including: </w:t>
      </w:r>
    </w:p>
    <w:p w14:paraId="460D24D8" w14:textId="77777777" w:rsidR="002E006F" w:rsidRPr="002E006F" w:rsidRDefault="002E006F" w:rsidP="002E006F">
      <w:pPr>
        <w:pStyle w:val="BodyText2"/>
        <w:rPr>
          <w:rFonts w:cs="Arial"/>
          <w:szCs w:val="24"/>
          <w:lang w:val="en-US"/>
        </w:rPr>
      </w:pPr>
    </w:p>
    <w:p w14:paraId="014B3C81" w14:textId="77777777" w:rsidR="002E006F" w:rsidRPr="002E006F" w:rsidRDefault="002E006F" w:rsidP="008622E1">
      <w:pPr>
        <w:pStyle w:val="BulletLevel1"/>
        <w:rPr>
          <w:lang w:val="en-US"/>
        </w:rPr>
      </w:pPr>
      <w:r w:rsidRPr="002E006F">
        <w:rPr>
          <w:lang w:val="en-US"/>
        </w:rPr>
        <w:t xml:space="preserve">Adults (16 years +) </w:t>
      </w:r>
    </w:p>
    <w:p w14:paraId="3E5CBFA9" w14:textId="77777777" w:rsidR="002E006F" w:rsidRPr="002E006F" w:rsidRDefault="002E006F" w:rsidP="008622E1">
      <w:pPr>
        <w:pStyle w:val="BulletLevel1"/>
        <w:rPr>
          <w:lang w:val="en-US"/>
        </w:rPr>
      </w:pPr>
      <w:r w:rsidRPr="002E006F">
        <w:rPr>
          <w:lang w:val="en-US"/>
        </w:rPr>
        <w:t>Admitted as inpatients (including those admitted for day case procedures)</w:t>
      </w:r>
    </w:p>
    <w:p w14:paraId="073182FA" w14:textId="77777777" w:rsidR="002E006F" w:rsidRPr="002E006F" w:rsidRDefault="002E006F" w:rsidP="001760B7">
      <w:pPr>
        <w:pStyle w:val="BodyText2"/>
        <w:spacing w:after="120"/>
        <w:rPr>
          <w:rFonts w:cs="Arial"/>
          <w:szCs w:val="24"/>
          <w:lang w:val="en-US"/>
        </w:rPr>
      </w:pPr>
      <w:r w:rsidRPr="002E006F">
        <w:rPr>
          <w:rFonts w:cs="Arial"/>
          <w:szCs w:val="24"/>
          <w:lang w:val="en-US"/>
        </w:rPr>
        <w:t>And</w:t>
      </w:r>
    </w:p>
    <w:p w14:paraId="1F07AD8D" w14:textId="77777777" w:rsidR="002E006F" w:rsidRPr="002E006F" w:rsidRDefault="002E006F" w:rsidP="008622E1">
      <w:pPr>
        <w:pStyle w:val="BulletLevel1"/>
        <w:rPr>
          <w:lang w:val="en-US"/>
        </w:rPr>
      </w:pPr>
      <w:r w:rsidRPr="002E006F">
        <w:rPr>
          <w:lang w:val="en-US"/>
        </w:rPr>
        <w:t>People aged 16 years + with a need for a lower limb plaster cast, traumatic injuries or significantly reduced mobility</w:t>
      </w:r>
    </w:p>
    <w:p w14:paraId="0499C228" w14:textId="77777777" w:rsidR="002E006F" w:rsidRPr="002E006F" w:rsidRDefault="002E006F" w:rsidP="008622E1">
      <w:pPr>
        <w:pStyle w:val="BulletLevel1"/>
        <w:rPr>
          <w:lang w:val="en-US"/>
        </w:rPr>
      </w:pPr>
      <w:r w:rsidRPr="002E006F">
        <w:rPr>
          <w:lang w:val="en-US"/>
        </w:rPr>
        <w:t xml:space="preserve">Private patients attending an NHS hospital. </w:t>
      </w:r>
    </w:p>
    <w:p w14:paraId="19BA3A65" w14:textId="77777777" w:rsidR="002E006F" w:rsidRPr="002E006F" w:rsidRDefault="002E006F" w:rsidP="002E006F">
      <w:pPr>
        <w:pStyle w:val="BodyText2"/>
        <w:rPr>
          <w:rFonts w:cs="Arial"/>
          <w:szCs w:val="24"/>
          <w:lang w:val="en-US"/>
        </w:rPr>
      </w:pPr>
    </w:p>
    <w:p w14:paraId="185F0192" w14:textId="77777777" w:rsidR="002E006F" w:rsidRPr="002E006F" w:rsidRDefault="002E006F" w:rsidP="002E006F">
      <w:pPr>
        <w:pStyle w:val="Heading2"/>
        <w:rPr>
          <w:lang w:val="en-US"/>
        </w:rPr>
      </w:pPr>
      <w:bookmarkStart w:id="12" w:name="_Toc535239213"/>
      <w:bookmarkStart w:id="13" w:name="_Toc8738268"/>
      <w:bookmarkStart w:id="14" w:name="_Toc184025120"/>
      <w:r w:rsidRPr="002E006F">
        <w:rPr>
          <w:lang w:val="en-US"/>
        </w:rPr>
        <w:t>Service users out of scope</w:t>
      </w:r>
      <w:bookmarkEnd w:id="12"/>
      <w:bookmarkEnd w:id="13"/>
      <w:bookmarkEnd w:id="14"/>
    </w:p>
    <w:p w14:paraId="0FCBFF74" w14:textId="77777777" w:rsidR="002E006F" w:rsidRPr="002E006F" w:rsidRDefault="002E006F" w:rsidP="002E006F">
      <w:pPr>
        <w:pStyle w:val="BodyText2"/>
        <w:rPr>
          <w:rFonts w:cs="Arial"/>
          <w:szCs w:val="24"/>
          <w:lang w:val="en-US"/>
        </w:rPr>
      </w:pPr>
    </w:p>
    <w:p w14:paraId="2013CE93" w14:textId="24F8E220" w:rsidR="002E006F" w:rsidRPr="002E006F" w:rsidRDefault="002E006F" w:rsidP="002E006F">
      <w:pPr>
        <w:pStyle w:val="BodyText2"/>
        <w:rPr>
          <w:rFonts w:cs="Arial"/>
          <w:szCs w:val="24"/>
          <w:lang w:val="en-US"/>
        </w:rPr>
      </w:pPr>
      <w:r w:rsidRPr="002E006F">
        <w:rPr>
          <w:rFonts w:cs="Arial"/>
          <w:szCs w:val="24"/>
          <w:lang w:val="en-US"/>
        </w:rPr>
        <w:t xml:space="preserve">The following specific groups of patients are not covered by </w:t>
      </w:r>
      <w:hyperlink r:id="rId13" w:history="1">
        <w:r w:rsidRPr="002E006F">
          <w:rPr>
            <w:rStyle w:val="Hyperlink"/>
            <w:rFonts w:cs="Arial"/>
            <w:szCs w:val="24"/>
            <w:lang w:val="en-US"/>
          </w:rPr>
          <w:t>NICE CG89</w:t>
        </w:r>
      </w:hyperlink>
      <w:sdt>
        <w:sdtPr>
          <w:rPr>
            <w:rFonts w:cs="Arial"/>
            <w:szCs w:val="24"/>
            <w:lang w:val="en-US"/>
          </w:rPr>
          <w:id w:val="154963230"/>
          <w:citation/>
        </w:sdtPr>
        <w:sdtEndPr/>
        <w:sdtContent>
          <w:r w:rsidR="00465FA1">
            <w:rPr>
              <w:rFonts w:cs="Arial"/>
              <w:szCs w:val="24"/>
              <w:lang w:val="en-US"/>
            </w:rPr>
            <w:fldChar w:fldCharType="begin"/>
          </w:r>
          <w:r w:rsidR="00814999">
            <w:rPr>
              <w:rFonts w:cs="Arial"/>
              <w:szCs w:val="24"/>
            </w:rPr>
            <w:instrText xml:space="preserve">CITATION NIC184 \l 2057 </w:instrText>
          </w:r>
          <w:r w:rsidR="00465FA1">
            <w:rPr>
              <w:rFonts w:cs="Arial"/>
              <w:szCs w:val="24"/>
              <w:lang w:val="en-US"/>
            </w:rPr>
            <w:fldChar w:fldCharType="separate"/>
          </w:r>
          <w:r w:rsidR="009233AA">
            <w:rPr>
              <w:rFonts w:cs="Arial"/>
              <w:noProof/>
              <w:szCs w:val="24"/>
            </w:rPr>
            <w:t xml:space="preserve"> </w:t>
          </w:r>
          <w:r w:rsidR="009233AA" w:rsidRPr="009233AA">
            <w:rPr>
              <w:rFonts w:cs="Arial"/>
              <w:noProof/>
              <w:szCs w:val="24"/>
            </w:rPr>
            <w:t>(1)</w:t>
          </w:r>
          <w:r w:rsidR="00465FA1">
            <w:rPr>
              <w:rFonts w:cs="Arial"/>
              <w:szCs w:val="24"/>
              <w:lang w:val="en-US"/>
            </w:rPr>
            <w:fldChar w:fldCharType="end"/>
          </w:r>
        </w:sdtContent>
      </w:sdt>
      <w:r w:rsidR="00465FA1">
        <w:rPr>
          <w:rFonts w:cs="Arial"/>
          <w:szCs w:val="24"/>
          <w:lang w:val="en-US"/>
        </w:rPr>
        <w:t xml:space="preserve"> </w:t>
      </w:r>
      <w:r w:rsidRPr="002E006F">
        <w:rPr>
          <w:rFonts w:cs="Arial"/>
          <w:szCs w:val="24"/>
          <w:lang w:val="en-US"/>
        </w:rPr>
        <w:t xml:space="preserve">and are therefore currently outside the scope of the audit data collection: </w:t>
      </w:r>
    </w:p>
    <w:p w14:paraId="32E8912E" w14:textId="77777777" w:rsidR="002E006F" w:rsidRPr="002E006F" w:rsidRDefault="002E006F" w:rsidP="002E006F">
      <w:pPr>
        <w:pStyle w:val="BodyText2"/>
        <w:rPr>
          <w:rFonts w:cs="Arial"/>
          <w:szCs w:val="24"/>
          <w:lang w:val="en-US"/>
        </w:rPr>
      </w:pPr>
    </w:p>
    <w:p w14:paraId="1F1658E5" w14:textId="7A6F2B3B" w:rsidR="002E006F" w:rsidRPr="002E006F" w:rsidRDefault="00465FA1" w:rsidP="008622E1">
      <w:pPr>
        <w:pStyle w:val="BulletLevel1"/>
        <w:rPr>
          <w:lang w:val="en-US"/>
        </w:rPr>
      </w:pPr>
      <w:r w:rsidRPr="002E006F">
        <w:rPr>
          <w:lang w:val="en-US"/>
        </w:rPr>
        <w:t>Patients</w:t>
      </w:r>
      <w:r w:rsidR="002E006F" w:rsidRPr="002E006F">
        <w:rPr>
          <w:lang w:val="en-US"/>
        </w:rPr>
        <w:t xml:space="preserve"> under the age of 16 at admission </w:t>
      </w:r>
    </w:p>
    <w:p w14:paraId="375D1219" w14:textId="77777777" w:rsidR="002E006F" w:rsidRPr="002E006F" w:rsidRDefault="002E006F" w:rsidP="008622E1">
      <w:pPr>
        <w:pStyle w:val="BulletLevel1"/>
        <w:rPr>
          <w:lang w:val="en-US"/>
        </w:rPr>
      </w:pPr>
      <w:r w:rsidRPr="002E006F">
        <w:rPr>
          <w:lang w:val="en-US"/>
        </w:rPr>
        <w:t xml:space="preserve">People attending hospital as outpatients </w:t>
      </w:r>
    </w:p>
    <w:p w14:paraId="088C18CF" w14:textId="77777777" w:rsidR="002E006F" w:rsidRPr="002E006F" w:rsidRDefault="002E006F" w:rsidP="008622E1">
      <w:pPr>
        <w:pStyle w:val="BulletLevel1"/>
        <w:rPr>
          <w:lang w:val="en-US"/>
        </w:rPr>
      </w:pPr>
      <w:r w:rsidRPr="002E006F">
        <w:rPr>
          <w:lang w:val="en-US"/>
        </w:rPr>
        <w:t xml:space="preserve">People attending hospital emergency departments who are not admitted as inpatients </w:t>
      </w:r>
    </w:p>
    <w:p w14:paraId="01A07ADF" w14:textId="77777777" w:rsidR="002E006F" w:rsidRPr="002E006F" w:rsidRDefault="002E006F" w:rsidP="008622E1">
      <w:pPr>
        <w:pStyle w:val="BulletLevel1"/>
        <w:rPr>
          <w:lang w:val="en-US"/>
        </w:rPr>
      </w:pPr>
      <w:r w:rsidRPr="002E006F">
        <w:rPr>
          <w:lang w:val="en-US"/>
        </w:rPr>
        <w:t xml:space="preserve">People who have </w:t>
      </w:r>
      <w:proofErr w:type="gramStart"/>
      <w:r w:rsidRPr="002E006F">
        <w:rPr>
          <w:lang w:val="en-US"/>
        </w:rPr>
        <w:t>a diagnosis</w:t>
      </w:r>
      <w:proofErr w:type="gramEnd"/>
      <w:r w:rsidRPr="002E006F">
        <w:rPr>
          <w:lang w:val="en-US"/>
        </w:rPr>
        <w:t xml:space="preserve"> or signs and symptoms of Deep Vein Thrombosis (DVT) or Pulmonary Embolism (PE).</w:t>
      </w:r>
    </w:p>
    <w:p w14:paraId="04965CEF" w14:textId="76B4BCAE" w:rsidR="002E006F" w:rsidRPr="002E006F" w:rsidRDefault="002E006F" w:rsidP="008622E1">
      <w:pPr>
        <w:pStyle w:val="BulletLevel1"/>
        <w:rPr>
          <w:lang w:val="en-US"/>
        </w:rPr>
      </w:pPr>
      <w:r w:rsidRPr="002E006F">
        <w:rPr>
          <w:lang w:val="en-US"/>
        </w:rPr>
        <w:lastRenderedPageBreak/>
        <w:t xml:space="preserve">Women who are pregnant or up to 6 weeks post-partum (Please see </w:t>
      </w:r>
      <w:hyperlink r:id="rId14" w:history="1">
        <w:r w:rsidRPr="000B3B0D">
          <w:rPr>
            <w:rStyle w:val="Hyperlink"/>
            <w:lang w:val="en-US"/>
          </w:rPr>
          <w:t xml:space="preserve">OBS/GYNAE/GUID/103 </w:t>
        </w:r>
      </w:hyperlink>
      <w:r w:rsidRPr="002E006F">
        <w:rPr>
          <w:lang w:val="en-US"/>
        </w:rPr>
        <w:t>Venous Thromboembolism - Antenatal, Intrapartum and post-natal risk assessments and prophylaxis</w:t>
      </w:r>
      <w:sdt>
        <w:sdtPr>
          <w:rPr>
            <w:lang w:val="en-US"/>
          </w:rPr>
          <w:id w:val="831722086"/>
          <w:citation/>
        </w:sdtPr>
        <w:sdtEndPr/>
        <w:sdtContent>
          <w:r w:rsidR="00465FA1">
            <w:rPr>
              <w:lang w:val="en-US"/>
            </w:rPr>
            <w:fldChar w:fldCharType="begin"/>
          </w:r>
          <w:r w:rsidR="00613AE3">
            <w:instrText xml:space="preserve">CITATION BTH1978 \l 2057 </w:instrText>
          </w:r>
          <w:r w:rsidR="00465FA1">
            <w:rPr>
              <w:lang w:val="en-US"/>
            </w:rPr>
            <w:fldChar w:fldCharType="separate"/>
          </w:r>
          <w:r w:rsidR="009233AA">
            <w:rPr>
              <w:noProof/>
            </w:rPr>
            <w:t xml:space="preserve"> (2)</w:t>
          </w:r>
          <w:r w:rsidR="00465FA1">
            <w:rPr>
              <w:lang w:val="en-US"/>
            </w:rPr>
            <w:fldChar w:fldCharType="end"/>
          </w:r>
        </w:sdtContent>
      </w:sdt>
      <w:r w:rsidRPr="002E006F">
        <w:rPr>
          <w:lang w:val="en-US"/>
        </w:rPr>
        <w:t>).</w:t>
      </w:r>
    </w:p>
    <w:p w14:paraId="4B33D781" w14:textId="77777777" w:rsidR="00B31A89" w:rsidRDefault="00B31A89" w:rsidP="005B4CC2">
      <w:pPr>
        <w:pStyle w:val="BodyText2"/>
        <w:rPr>
          <w:rFonts w:cs="Arial"/>
          <w:szCs w:val="24"/>
          <w:lang w:val="en-US"/>
        </w:rPr>
      </w:pPr>
    </w:p>
    <w:p w14:paraId="4B33D782" w14:textId="635AAC44" w:rsidR="009B3F14" w:rsidRPr="00C40351" w:rsidRDefault="009B3F14" w:rsidP="00886EB8">
      <w:pPr>
        <w:pStyle w:val="Heading1"/>
      </w:pPr>
      <w:bookmarkStart w:id="15" w:name="_Toc184025121"/>
      <w:r>
        <w:t>Definitions</w:t>
      </w:r>
      <w:r w:rsidR="00CF0211">
        <w:t xml:space="preserve"> and </w:t>
      </w:r>
      <w:r w:rsidR="00CF0211" w:rsidRPr="00886EB8">
        <w:t>Abbreviations</w:t>
      </w:r>
      <w:bookmarkEnd w:id="15"/>
    </w:p>
    <w:p w14:paraId="4B33D783" w14:textId="77777777" w:rsidR="009B3F14" w:rsidRDefault="009B3F14" w:rsidP="009B3F14">
      <w:pPr>
        <w:pStyle w:val="BodyText2"/>
        <w:rPr>
          <w:rFonts w:cs="Arial"/>
          <w:szCs w:val="24"/>
          <w:lang w:val="en-US"/>
        </w:rPr>
      </w:pPr>
    </w:p>
    <w:p w14:paraId="76ED0D16" w14:textId="0EF90E8F" w:rsidR="002E006F" w:rsidRPr="002E006F" w:rsidRDefault="002E006F" w:rsidP="002E006F">
      <w:pPr>
        <w:pStyle w:val="BodyText2"/>
        <w:ind w:left="1701" w:hanging="1701"/>
        <w:rPr>
          <w:rFonts w:cs="Arial"/>
          <w:szCs w:val="24"/>
          <w:lang w:val="en-US"/>
        </w:rPr>
      </w:pPr>
      <w:r w:rsidRPr="002E006F">
        <w:rPr>
          <w:rFonts w:cs="Arial"/>
          <w:szCs w:val="24"/>
          <w:lang w:val="en-US"/>
        </w:rPr>
        <w:t>A&amp;E</w:t>
      </w:r>
      <w:r w:rsidRPr="002E006F">
        <w:rPr>
          <w:rFonts w:cs="Arial"/>
          <w:szCs w:val="24"/>
          <w:lang w:val="en-US"/>
        </w:rPr>
        <w:tab/>
        <w:t>Accident and Emergency</w:t>
      </w:r>
    </w:p>
    <w:p w14:paraId="7F1BFB60"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BMI</w:t>
      </w:r>
      <w:r w:rsidRPr="002E006F">
        <w:rPr>
          <w:rFonts w:cs="Arial"/>
          <w:szCs w:val="24"/>
          <w:lang w:val="en-US"/>
        </w:rPr>
        <w:tab/>
        <w:t>Body Mass Index</w:t>
      </w:r>
    </w:p>
    <w:p w14:paraId="6F8791C6"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COPD</w:t>
      </w:r>
      <w:r w:rsidRPr="002E006F">
        <w:rPr>
          <w:rFonts w:cs="Arial"/>
          <w:szCs w:val="24"/>
          <w:lang w:val="en-US"/>
        </w:rPr>
        <w:tab/>
        <w:t>Chronic Obstructive Pulmonary Disease</w:t>
      </w:r>
    </w:p>
    <w:p w14:paraId="3EF05B88"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DN</w:t>
      </w:r>
      <w:r w:rsidRPr="002E006F">
        <w:rPr>
          <w:rFonts w:cs="Arial"/>
          <w:szCs w:val="24"/>
          <w:lang w:val="en-US"/>
        </w:rPr>
        <w:tab/>
        <w:t>District Nursing</w:t>
      </w:r>
    </w:p>
    <w:p w14:paraId="25F43AF6"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DOAC</w:t>
      </w:r>
      <w:r w:rsidRPr="002E006F">
        <w:rPr>
          <w:rFonts w:cs="Arial"/>
          <w:szCs w:val="24"/>
          <w:lang w:val="en-US"/>
        </w:rPr>
        <w:tab/>
        <w:t>Direct Oral Anticoagulant</w:t>
      </w:r>
    </w:p>
    <w:p w14:paraId="2586BEF1"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DVT</w:t>
      </w:r>
      <w:r w:rsidRPr="002E006F">
        <w:rPr>
          <w:rFonts w:cs="Arial"/>
          <w:szCs w:val="24"/>
          <w:lang w:val="en-US"/>
        </w:rPr>
        <w:tab/>
        <w:t>Deep Vein Thrombosis</w:t>
      </w:r>
    </w:p>
    <w:p w14:paraId="3D57F9A5"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FBC</w:t>
      </w:r>
      <w:r w:rsidRPr="002E006F">
        <w:rPr>
          <w:rFonts w:cs="Arial"/>
          <w:szCs w:val="24"/>
          <w:lang w:val="en-US"/>
        </w:rPr>
        <w:tab/>
        <w:t>Full Blood Count</w:t>
      </w:r>
    </w:p>
    <w:p w14:paraId="7310FD77"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DN</w:t>
      </w:r>
      <w:r w:rsidRPr="002E006F">
        <w:rPr>
          <w:rFonts w:cs="Arial"/>
          <w:szCs w:val="24"/>
          <w:lang w:val="en-US"/>
        </w:rPr>
        <w:tab/>
        <w:t xml:space="preserve">District Nurse </w:t>
      </w:r>
    </w:p>
    <w:p w14:paraId="6DD8A5DB"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GP</w:t>
      </w:r>
      <w:r w:rsidRPr="002E006F">
        <w:rPr>
          <w:rFonts w:cs="Arial"/>
          <w:szCs w:val="24"/>
          <w:lang w:val="en-US"/>
        </w:rPr>
        <w:tab/>
        <w:t>General Practitioner</w:t>
      </w:r>
    </w:p>
    <w:p w14:paraId="2B5FA47E"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HIT</w:t>
      </w:r>
      <w:r w:rsidRPr="002E006F">
        <w:rPr>
          <w:rFonts w:cs="Arial"/>
          <w:szCs w:val="24"/>
          <w:lang w:val="en-US"/>
        </w:rPr>
        <w:tab/>
        <w:t>Heparin induced thrombocytopenia</w:t>
      </w:r>
    </w:p>
    <w:p w14:paraId="0F3638D6"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INR</w:t>
      </w:r>
      <w:r w:rsidRPr="002E006F">
        <w:rPr>
          <w:rFonts w:cs="Arial"/>
          <w:szCs w:val="24"/>
          <w:lang w:val="en-US"/>
        </w:rPr>
        <w:tab/>
        <w:t>International Normalised Ratio</w:t>
      </w:r>
    </w:p>
    <w:p w14:paraId="2E2F3306"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LMWHs</w:t>
      </w:r>
      <w:r w:rsidRPr="002E006F">
        <w:rPr>
          <w:rFonts w:cs="Arial"/>
          <w:szCs w:val="24"/>
          <w:lang w:val="en-US"/>
        </w:rPr>
        <w:tab/>
        <w:t>Low Molecular Weight Heparins</w:t>
      </w:r>
    </w:p>
    <w:p w14:paraId="63C53961"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PE</w:t>
      </w:r>
      <w:r w:rsidRPr="002E006F">
        <w:rPr>
          <w:rFonts w:cs="Arial"/>
          <w:szCs w:val="24"/>
          <w:lang w:val="en-US"/>
        </w:rPr>
        <w:tab/>
        <w:t>Pulmonary Embolism</w:t>
      </w:r>
    </w:p>
    <w:p w14:paraId="20373407" w14:textId="17056EE4" w:rsidR="002E006F" w:rsidRPr="002E006F" w:rsidRDefault="002E006F" w:rsidP="002E006F">
      <w:pPr>
        <w:pStyle w:val="BodyText2"/>
        <w:ind w:left="1701" w:hanging="1701"/>
        <w:rPr>
          <w:rFonts w:cs="Arial"/>
          <w:szCs w:val="24"/>
          <w:lang w:val="en-US"/>
        </w:rPr>
      </w:pPr>
      <w:r w:rsidRPr="002E006F">
        <w:rPr>
          <w:rFonts w:cs="Arial"/>
          <w:szCs w:val="24"/>
          <w:lang w:val="en-US"/>
        </w:rPr>
        <w:t>Mechanical Thromboprophylaxis</w:t>
      </w:r>
      <w:r w:rsidRPr="002E006F">
        <w:rPr>
          <w:rFonts w:cs="Arial"/>
          <w:szCs w:val="24"/>
          <w:lang w:val="en-US"/>
        </w:rPr>
        <w:tab/>
      </w:r>
      <w:r>
        <w:rPr>
          <w:rFonts w:cs="Arial"/>
          <w:szCs w:val="24"/>
          <w:lang w:val="en-US"/>
        </w:rPr>
        <w:br/>
      </w:r>
      <w:r w:rsidRPr="002E006F">
        <w:rPr>
          <w:rFonts w:cs="Arial"/>
          <w:szCs w:val="24"/>
          <w:lang w:val="en-US"/>
        </w:rPr>
        <w:t>Compression stockings or Flowtron boots</w:t>
      </w:r>
    </w:p>
    <w:p w14:paraId="00D3B8B4"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TEDS</w:t>
      </w:r>
      <w:r w:rsidRPr="002E006F">
        <w:rPr>
          <w:rFonts w:cs="Arial"/>
          <w:szCs w:val="24"/>
          <w:lang w:val="en-US"/>
        </w:rPr>
        <w:tab/>
        <w:t>Thrombo-Embolic-Deterrent</w:t>
      </w:r>
    </w:p>
    <w:p w14:paraId="556181CB"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TTO</w:t>
      </w:r>
      <w:r w:rsidRPr="002E006F">
        <w:rPr>
          <w:rFonts w:cs="Arial"/>
          <w:szCs w:val="24"/>
          <w:lang w:val="en-US"/>
        </w:rPr>
        <w:tab/>
        <w:t>To take out</w:t>
      </w:r>
    </w:p>
    <w:p w14:paraId="18BD2FA0" w14:textId="77777777" w:rsidR="002E006F" w:rsidRPr="002E006F" w:rsidRDefault="002E006F" w:rsidP="002E006F">
      <w:pPr>
        <w:pStyle w:val="BodyText2"/>
        <w:ind w:left="1701" w:hanging="1701"/>
        <w:rPr>
          <w:rFonts w:cs="Arial"/>
          <w:szCs w:val="24"/>
          <w:lang w:val="en-US"/>
        </w:rPr>
      </w:pPr>
      <w:r w:rsidRPr="002E006F">
        <w:rPr>
          <w:rFonts w:cs="Arial"/>
          <w:szCs w:val="24"/>
          <w:lang w:val="en-US"/>
        </w:rPr>
        <w:t>U&amp;Es</w:t>
      </w:r>
      <w:r w:rsidRPr="002E006F">
        <w:rPr>
          <w:rFonts w:cs="Arial"/>
          <w:szCs w:val="24"/>
          <w:lang w:val="en-US"/>
        </w:rPr>
        <w:tab/>
        <w:t>urea and electrolytes</w:t>
      </w:r>
    </w:p>
    <w:p w14:paraId="2CD8DB20" w14:textId="77777777" w:rsidR="002E006F" w:rsidRPr="002E006F" w:rsidRDefault="002E006F" w:rsidP="002E006F">
      <w:pPr>
        <w:pStyle w:val="BodyText2"/>
        <w:ind w:left="1701" w:hanging="1701"/>
        <w:rPr>
          <w:rFonts w:cs="Arial"/>
          <w:szCs w:val="24"/>
        </w:rPr>
      </w:pPr>
      <w:r w:rsidRPr="002E006F">
        <w:rPr>
          <w:rFonts w:cs="Arial"/>
          <w:szCs w:val="24"/>
          <w:lang w:val="en-US"/>
        </w:rPr>
        <w:t>VTE</w:t>
      </w:r>
      <w:r w:rsidRPr="002E006F">
        <w:rPr>
          <w:rFonts w:cs="Arial"/>
          <w:szCs w:val="24"/>
          <w:lang w:val="en-US"/>
        </w:rPr>
        <w:tab/>
        <w:t>Venous Thromboembolism</w:t>
      </w:r>
    </w:p>
    <w:p w14:paraId="4B33D785" w14:textId="77777777" w:rsidR="009B3F14" w:rsidRDefault="009B3F14" w:rsidP="005B4CC2">
      <w:pPr>
        <w:pStyle w:val="BodyText2"/>
        <w:rPr>
          <w:rFonts w:cs="Arial"/>
          <w:szCs w:val="24"/>
          <w:lang w:val="en-US"/>
        </w:rPr>
      </w:pPr>
    </w:p>
    <w:p w14:paraId="15A10B52" w14:textId="2D4A93C9" w:rsidR="002E006F" w:rsidRPr="002E006F" w:rsidRDefault="002E006F" w:rsidP="002E006F">
      <w:pPr>
        <w:pStyle w:val="Heading1"/>
        <w:rPr>
          <w:lang w:val="en-US"/>
        </w:rPr>
      </w:pPr>
      <w:bookmarkStart w:id="16" w:name="_Toc535239214"/>
      <w:bookmarkStart w:id="17" w:name="_Toc8738271"/>
      <w:bookmarkStart w:id="18" w:name="_Toc184025122"/>
      <w:r w:rsidRPr="002E006F">
        <w:rPr>
          <w:lang w:val="en-US"/>
        </w:rPr>
        <w:t>Guideline</w:t>
      </w:r>
      <w:bookmarkEnd w:id="16"/>
      <w:bookmarkEnd w:id="17"/>
      <w:bookmarkEnd w:id="18"/>
    </w:p>
    <w:p w14:paraId="5E3C01F5" w14:textId="77777777" w:rsidR="002E006F" w:rsidRPr="002E006F" w:rsidRDefault="002E006F" w:rsidP="002E006F">
      <w:pPr>
        <w:rPr>
          <w:lang w:val="en-US"/>
        </w:rPr>
      </w:pPr>
    </w:p>
    <w:p w14:paraId="3F24048C" w14:textId="77777777" w:rsidR="002E006F" w:rsidRPr="002E006F" w:rsidRDefault="002E006F" w:rsidP="002E006F">
      <w:pPr>
        <w:pStyle w:val="Heading2"/>
        <w:rPr>
          <w:lang w:val="en-US"/>
        </w:rPr>
      </w:pPr>
      <w:bookmarkStart w:id="19" w:name="_Toc535239215"/>
      <w:bookmarkStart w:id="20" w:name="_Toc8738272"/>
      <w:bookmarkStart w:id="21" w:name="_Toc184025123"/>
      <w:r w:rsidRPr="002E006F">
        <w:rPr>
          <w:lang w:val="en-US"/>
        </w:rPr>
        <w:t>Introduction / General</w:t>
      </w:r>
      <w:bookmarkEnd w:id="19"/>
      <w:bookmarkEnd w:id="20"/>
      <w:bookmarkEnd w:id="21"/>
    </w:p>
    <w:p w14:paraId="63CF41F4" w14:textId="77777777" w:rsidR="002E006F" w:rsidRPr="002E006F" w:rsidRDefault="002E006F" w:rsidP="002E006F">
      <w:pPr>
        <w:rPr>
          <w:lang w:val="en-US"/>
        </w:rPr>
      </w:pPr>
    </w:p>
    <w:p w14:paraId="21221857" w14:textId="423C7310" w:rsidR="002E006F" w:rsidRDefault="002E006F" w:rsidP="008622E1">
      <w:pPr>
        <w:pStyle w:val="BulletLevel1"/>
        <w:rPr>
          <w:lang w:val="en-US"/>
        </w:rPr>
      </w:pPr>
      <w:r w:rsidRPr="002E006F">
        <w:rPr>
          <w:lang w:val="en-US"/>
        </w:rPr>
        <w:t xml:space="preserve">VTE Risk Assessments must be completed by the admitting / appropriate </w:t>
      </w:r>
      <w:r w:rsidR="00526868">
        <w:rPr>
          <w:lang w:val="en-US"/>
        </w:rPr>
        <w:t>clinician</w:t>
      </w:r>
      <w:r w:rsidRPr="002E006F">
        <w:rPr>
          <w:lang w:val="en-US"/>
        </w:rPr>
        <w:t xml:space="preserve"> using the Trust VTE Risk Assessment Form (see </w:t>
      </w:r>
      <w:hyperlink w:anchor="App1Form" w:history="1">
        <w:r w:rsidRPr="004E6FF0">
          <w:rPr>
            <w:rStyle w:val="Hyperlink"/>
            <w:lang w:val="en-US"/>
          </w:rPr>
          <w:t>Appendix 1</w:t>
        </w:r>
      </w:hyperlink>
      <w:sdt>
        <w:sdtPr>
          <w:rPr>
            <w:lang w:val="en-US"/>
          </w:rPr>
          <w:id w:val="-786042335"/>
          <w:citation/>
        </w:sdtPr>
        <w:sdtEndPr/>
        <w:sdtContent>
          <w:r w:rsidR="00465FA1">
            <w:rPr>
              <w:lang w:val="en-US"/>
            </w:rPr>
            <w:fldChar w:fldCharType="begin"/>
          </w:r>
          <w:r w:rsidR="004D12A4">
            <w:instrText xml:space="preserve">CITATION BTH1841 \l 2057 </w:instrText>
          </w:r>
          <w:r w:rsidR="00465FA1">
            <w:rPr>
              <w:lang w:val="en-US"/>
            </w:rPr>
            <w:fldChar w:fldCharType="separate"/>
          </w:r>
          <w:r w:rsidR="009233AA">
            <w:rPr>
              <w:noProof/>
            </w:rPr>
            <w:t xml:space="preserve"> (3)</w:t>
          </w:r>
          <w:r w:rsidR="00465FA1">
            <w:rPr>
              <w:lang w:val="en-US"/>
            </w:rPr>
            <w:fldChar w:fldCharType="end"/>
          </w:r>
        </w:sdtContent>
      </w:sdt>
      <w:r w:rsidRPr="002E006F">
        <w:rPr>
          <w:lang w:val="en-US"/>
        </w:rPr>
        <w:t xml:space="preserve">) which is </w:t>
      </w:r>
      <w:r w:rsidR="003F3A87">
        <w:rPr>
          <w:lang w:val="en-US"/>
        </w:rPr>
        <w:t>available on Med</w:t>
      </w:r>
      <w:r w:rsidR="00526868">
        <w:rPr>
          <w:lang w:val="en-US"/>
        </w:rPr>
        <w:t>C</w:t>
      </w:r>
      <w:r w:rsidR="003F3A87">
        <w:rPr>
          <w:lang w:val="en-US"/>
        </w:rPr>
        <w:t>hart</w:t>
      </w:r>
      <w:r w:rsidRPr="002E006F">
        <w:rPr>
          <w:lang w:val="en-US"/>
        </w:rPr>
        <w:t xml:space="preserve"> and the pre-operative assessment booklet.  These assessments must be included within the patient’s health record</w:t>
      </w:r>
      <w:r w:rsidR="003F3A87">
        <w:rPr>
          <w:lang w:val="en-US"/>
        </w:rPr>
        <w:t xml:space="preserve"> or saved in the </w:t>
      </w:r>
      <w:proofErr w:type="gramStart"/>
      <w:r w:rsidR="003F3A87">
        <w:rPr>
          <w:lang w:val="en-US"/>
        </w:rPr>
        <w:t>patients</w:t>
      </w:r>
      <w:proofErr w:type="gramEnd"/>
      <w:r w:rsidR="003F3A87">
        <w:rPr>
          <w:lang w:val="en-US"/>
        </w:rPr>
        <w:t xml:space="preserve"> Medchart record.</w:t>
      </w:r>
    </w:p>
    <w:p w14:paraId="6B5AA13A" w14:textId="77777777" w:rsidR="00FA7DB2" w:rsidRPr="00FA7DB2" w:rsidRDefault="00FA7DB2" w:rsidP="008622E1">
      <w:pPr>
        <w:pStyle w:val="BulletLevel1"/>
        <w:rPr>
          <w:lang w:val="en-US"/>
        </w:rPr>
      </w:pPr>
      <w:r w:rsidRPr="00FA7DB2">
        <w:rPr>
          <w:lang w:val="en-US"/>
        </w:rPr>
        <w:t>Nursing, pharmacy and other registered staff can support clinical staff by prompting assessments where appropriate, but the responsibility for completing the assessment remains with the clinician.</w:t>
      </w:r>
    </w:p>
    <w:p w14:paraId="41BCF701" w14:textId="7F05AFC3" w:rsidR="00FA7DB2" w:rsidRPr="00FA7DB2" w:rsidRDefault="00FA7DB2" w:rsidP="008622E1">
      <w:pPr>
        <w:pStyle w:val="BulletLevel1"/>
        <w:rPr>
          <w:lang w:val="en-US"/>
        </w:rPr>
      </w:pPr>
      <w:r w:rsidRPr="00FA7DB2">
        <w:rPr>
          <w:lang w:val="en-US"/>
        </w:rPr>
        <w:t xml:space="preserve">The clinician completing the assessment must </w:t>
      </w:r>
      <w:proofErr w:type="gramStart"/>
      <w:r w:rsidRPr="00FA7DB2">
        <w:rPr>
          <w:lang w:val="en-US"/>
        </w:rPr>
        <w:t>take into account</w:t>
      </w:r>
      <w:proofErr w:type="gramEnd"/>
      <w:r w:rsidRPr="00FA7DB2">
        <w:rPr>
          <w:lang w:val="en-US"/>
        </w:rPr>
        <w:t xml:space="preserve"> whether the patient has any circumstances or </w:t>
      </w:r>
      <w:r w:rsidR="00B646A2" w:rsidRPr="00FA7DB2">
        <w:rPr>
          <w:lang w:val="en-US"/>
        </w:rPr>
        <w:t>conditions or</w:t>
      </w:r>
      <w:r w:rsidRPr="00FA7DB2">
        <w:rPr>
          <w:lang w:val="en-US"/>
        </w:rPr>
        <w:t xml:space="preserve"> is taking any medication that may affect their risk of thrombosis or bleeding, or the appropriateness of prophylactic interventions or treatments e.g., due to drug interactions.</w:t>
      </w:r>
    </w:p>
    <w:p w14:paraId="0B58E6F5" w14:textId="77777777" w:rsidR="00FA7DB2" w:rsidRPr="00FA7DB2" w:rsidRDefault="00FA7DB2" w:rsidP="008622E1">
      <w:pPr>
        <w:pStyle w:val="BulletLevel1"/>
        <w:rPr>
          <w:lang w:val="en-US"/>
        </w:rPr>
      </w:pPr>
      <w:r w:rsidRPr="00FA7DB2">
        <w:rPr>
          <w:lang w:val="en-US"/>
        </w:rPr>
        <w:t>The clinician must reassess the patient if their condition changes and document this in the patient’s case notes.</w:t>
      </w:r>
    </w:p>
    <w:p w14:paraId="4B48E356" w14:textId="77777777" w:rsidR="000F61ED" w:rsidRDefault="000F61ED">
      <w:pPr>
        <w:rPr>
          <w:b/>
          <w:lang w:val="en-US"/>
        </w:rPr>
      </w:pPr>
      <w:bookmarkStart w:id="22" w:name="_Toc535239216"/>
      <w:bookmarkStart w:id="23" w:name="_Toc8738273"/>
      <w:r>
        <w:rPr>
          <w:lang w:val="en-US"/>
        </w:rPr>
        <w:br w:type="page"/>
      </w:r>
    </w:p>
    <w:p w14:paraId="79D603D2" w14:textId="7DAC0501" w:rsidR="002E006F" w:rsidRPr="002E006F" w:rsidRDefault="002E006F" w:rsidP="002E006F">
      <w:pPr>
        <w:pStyle w:val="Heading2"/>
        <w:rPr>
          <w:lang w:val="en-US"/>
        </w:rPr>
      </w:pPr>
      <w:bookmarkStart w:id="24" w:name="_Toc184025124"/>
      <w:r w:rsidRPr="002E006F">
        <w:rPr>
          <w:lang w:val="en-US"/>
        </w:rPr>
        <w:lastRenderedPageBreak/>
        <w:t>Primary Assessment</w:t>
      </w:r>
      <w:bookmarkEnd w:id="22"/>
      <w:bookmarkEnd w:id="23"/>
      <w:bookmarkEnd w:id="24"/>
    </w:p>
    <w:p w14:paraId="225D9603" w14:textId="77777777" w:rsidR="002E006F" w:rsidRPr="002E006F" w:rsidRDefault="002E006F" w:rsidP="002E006F">
      <w:pPr>
        <w:rPr>
          <w:lang w:val="en-US"/>
        </w:rPr>
      </w:pPr>
    </w:p>
    <w:p w14:paraId="78DBEE83" w14:textId="1BDB5D5D" w:rsidR="00FA7DB2" w:rsidRPr="00FA7DB2" w:rsidRDefault="00FA7DB2" w:rsidP="008622E1">
      <w:pPr>
        <w:pStyle w:val="BulletLevel1"/>
        <w:rPr>
          <w:lang w:val="en-US"/>
        </w:rPr>
      </w:pPr>
      <w:r w:rsidRPr="00FA7DB2">
        <w:rPr>
          <w:lang w:val="en-US"/>
        </w:rPr>
        <w:t xml:space="preserve">VTE Risk Assessments must be completed by the admitting / appropriate clinician using the Trust VTE Risk Assessment Form (see </w:t>
      </w:r>
      <w:hyperlink w:anchor="App1Form" w:history="1">
        <w:r w:rsidRPr="004E6FF0">
          <w:rPr>
            <w:rStyle w:val="Hyperlink"/>
            <w:lang w:val="en-US"/>
          </w:rPr>
          <w:t>Appendix 1</w:t>
        </w:r>
      </w:hyperlink>
      <w:sdt>
        <w:sdtPr>
          <w:rPr>
            <w:lang w:val="en-US"/>
          </w:rPr>
          <w:id w:val="319162758"/>
          <w:citation/>
        </w:sdtPr>
        <w:sdtEndPr/>
        <w:sdtContent>
          <w:r>
            <w:rPr>
              <w:lang w:val="en-US"/>
            </w:rPr>
            <w:fldChar w:fldCharType="begin"/>
          </w:r>
          <w:r w:rsidR="004D12A4">
            <w:instrText xml:space="preserve">CITATION BTH1841 \l 2057 </w:instrText>
          </w:r>
          <w:r>
            <w:rPr>
              <w:lang w:val="en-US"/>
            </w:rPr>
            <w:fldChar w:fldCharType="separate"/>
          </w:r>
          <w:r w:rsidR="009233AA">
            <w:rPr>
              <w:noProof/>
            </w:rPr>
            <w:t xml:space="preserve"> (3)</w:t>
          </w:r>
          <w:r>
            <w:rPr>
              <w:lang w:val="en-US"/>
            </w:rPr>
            <w:fldChar w:fldCharType="end"/>
          </w:r>
        </w:sdtContent>
      </w:sdt>
      <w:r w:rsidRPr="00FA7DB2">
        <w:rPr>
          <w:lang w:val="en-US"/>
        </w:rPr>
        <w:t>) which i</w:t>
      </w:r>
      <w:r w:rsidR="00526868">
        <w:rPr>
          <w:lang w:val="en-US"/>
        </w:rPr>
        <w:t>s available on MedChart and a part of</w:t>
      </w:r>
      <w:r w:rsidRPr="00FA7DB2">
        <w:rPr>
          <w:lang w:val="en-US"/>
        </w:rPr>
        <w:t xml:space="preserve"> the pre-operative assessment booklet.  The completion of the primary VTE risk assessment is mandated in MedChart, the Trust’s Electronic Prescribing and Medicines Administration system, prior to prescribing ‘regular’ medications.  An electronic version of the Trust VTE Risk Assessment Form has been built within MedChart and will need completing for all patients on wards where MedChart has been deployed.  These assessments must be included within the patient’s health record and </w:t>
      </w:r>
      <w:proofErr w:type="gramStart"/>
      <w:r w:rsidRPr="00FA7DB2">
        <w:rPr>
          <w:lang w:val="en-US"/>
        </w:rPr>
        <w:t>where</w:t>
      </w:r>
      <w:proofErr w:type="gramEnd"/>
      <w:r w:rsidRPr="00FA7DB2">
        <w:rPr>
          <w:lang w:val="en-US"/>
        </w:rPr>
        <w:t xml:space="preserve"> completed in MedChart, will be stored electronically.</w:t>
      </w:r>
    </w:p>
    <w:p w14:paraId="4D76135F" w14:textId="6DB21A24" w:rsidR="00FA7DB2" w:rsidRPr="00FA7DB2" w:rsidRDefault="00FA7DB2" w:rsidP="008622E1">
      <w:pPr>
        <w:pStyle w:val="BulletLevel1"/>
        <w:rPr>
          <w:lang w:val="en-US"/>
        </w:rPr>
      </w:pPr>
      <w:r w:rsidRPr="00FA7DB2">
        <w:rPr>
          <w:lang w:val="en-US"/>
        </w:rPr>
        <w:t xml:space="preserve">The doctor / nurse completing the assessment must </w:t>
      </w:r>
      <w:proofErr w:type="gramStart"/>
      <w:r w:rsidRPr="00FA7DB2">
        <w:rPr>
          <w:lang w:val="en-US"/>
        </w:rPr>
        <w:t>take into account</w:t>
      </w:r>
      <w:proofErr w:type="gramEnd"/>
      <w:r w:rsidRPr="00FA7DB2">
        <w:rPr>
          <w:lang w:val="en-US"/>
        </w:rPr>
        <w:t xml:space="preserve"> if the patient is taking any concurrent anti-platelets, anti-coagulants or other interacting medicines.  </w:t>
      </w:r>
    </w:p>
    <w:p w14:paraId="4CCE8632" w14:textId="77777777" w:rsidR="00FA7DB2" w:rsidRPr="00FA7DB2" w:rsidRDefault="00FA7DB2" w:rsidP="008622E1">
      <w:pPr>
        <w:pStyle w:val="BulletLevel1"/>
        <w:rPr>
          <w:lang w:val="en-US"/>
        </w:rPr>
      </w:pPr>
      <w:r w:rsidRPr="00FA7DB2">
        <w:rPr>
          <w:lang w:val="en-US"/>
        </w:rPr>
        <w:t>The risk of VTE must outweigh the risk of bleeding if LMWH is to be prescribed.  Senior medical advice should be sought if the doctor / nurse completing the assessment is unsure, consultation with whom and outcome and must be documented within the medical notes.</w:t>
      </w:r>
    </w:p>
    <w:p w14:paraId="3A97B9AD" w14:textId="4B023557" w:rsidR="006E777B" w:rsidRPr="00FA7DB2" w:rsidRDefault="006E777B" w:rsidP="008622E1">
      <w:pPr>
        <w:pStyle w:val="BulletLevel1"/>
        <w:rPr>
          <w:lang w:val="en-US"/>
        </w:rPr>
      </w:pPr>
      <w:r>
        <w:rPr>
          <w:lang w:val="en-US"/>
        </w:rPr>
        <w:t>A VTE assessment must be completed within 4 hours of being clerked by the admitt</w:t>
      </w:r>
      <w:r w:rsidR="008622E1">
        <w:rPr>
          <w:lang w:val="en-US"/>
        </w:rPr>
        <w:t>ing</w:t>
      </w:r>
      <w:r>
        <w:rPr>
          <w:lang w:val="en-US"/>
        </w:rPr>
        <w:t xml:space="preserve"> team. The appropriate VTE prophylaxis must then be prescribed.</w:t>
      </w:r>
    </w:p>
    <w:p w14:paraId="7246AE12" w14:textId="77777777" w:rsidR="00FA7DB2" w:rsidRPr="00FA7DB2" w:rsidRDefault="00FA7DB2" w:rsidP="008622E1">
      <w:pPr>
        <w:pStyle w:val="BulletLevel1"/>
        <w:rPr>
          <w:lang w:val="en-US"/>
        </w:rPr>
      </w:pPr>
      <w:r w:rsidRPr="00FA7DB2">
        <w:rPr>
          <w:lang w:val="en-US"/>
        </w:rPr>
        <w:t>The clinician must reassess the patient if the patient’s condition deteriorates and document this in the patient’s case notes.</w:t>
      </w:r>
    </w:p>
    <w:p w14:paraId="20B39CCB" w14:textId="44258B6E" w:rsidR="00FA7DB2" w:rsidRPr="00FA7DB2" w:rsidRDefault="00FA7DB2" w:rsidP="008622E1">
      <w:pPr>
        <w:pStyle w:val="BulletLevel1"/>
        <w:rPr>
          <w:lang w:val="en-US"/>
        </w:rPr>
      </w:pPr>
      <w:r w:rsidRPr="00FA7DB2">
        <w:rPr>
          <w:lang w:val="en-US"/>
        </w:rPr>
        <w:t>Outpatients that have a lower limb cast and / or a significant reduction in mobilisation must be considered for VTE prophylaxis.</w:t>
      </w:r>
    </w:p>
    <w:p w14:paraId="7DA3C818" w14:textId="77777777" w:rsidR="002E006F" w:rsidRPr="002E006F" w:rsidRDefault="002E006F" w:rsidP="002E006F">
      <w:pPr>
        <w:rPr>
          <w:lang w:val="en-US"/>
        </w:rPr>
      </w:pPr>
    </w:p>
    <w:p w14:paraId="0F404AD1" w14:textId="77777777" w:rsidR="002E006F" w:rsidRPr="002E006F" w:rsidRDefault="002E006F" w:rsidP="002E006F">
      <w:pPr>
        <w:pStyle w:val="Heading2"/>
        <w:rPr>
          <w:lang w:val="en-US"/>
        </w:rPr>
      </w:pPr>
      <w:bookmarkStart w:id="25" w:name="_Toc535239217"/>
      <w:bookmarkStart w:id="26" w:name="_Toc8738274"/>
      <w:bookmarkStart w:id="27" w:name="_Toc184025125"/>
      <w:r w:rsidRPr="002E006F">
        <w:rPr>
          <w:lang w:val="en-US"/>
        </w:rPr>
        <w:t>Secondary Assessment:</w:t>
      </w:r>
      <w:bookmarkEnd w:id="25"/>
      <w:bookmarkEnd w:id="26"/>
      <w:bookmarkEnd w:id="27"/>
    </w:p>
    <w:p w14:paraId="3082DE69" w14:textId="77777777" w:rsidR="002E006F" w:rsidRPr="002E006F" w:rsidRDefault="002E006F" w:rsidP="002E006F">
      <w:pPr>
        <w:rPr>
          <w:lang w:val="en-US"/>
        </w:rPr>
      </w:pPr>
    </w:p>
    <w:p w14:paraId="3D2F88B1" w14:textId="2EC5396D" w:rsidR="00FA7DB2" w:rsidRPr="00FA7DB2" w:rsidRDefault="00FA7DB2" w:rsidP="008622E1">
      <w:pPr>
        <w:pStyle w:val="BulletLevel1"/>
        <w:rPr>
          <w:lang w:val="en-US"/>
        </w:rPr>
      </w:pPr>
      <w:r w:rsidRPr="00FA7DB2">
        <w:rPr>
          <w:lang w:val="en-US"/>
        </w:rPr>
        <w:t xml:space="preserve">All patients must receive a re-assessment to determine risk following stabilisation or deterioration of condition.  This is to be at least 4 hours after primary assessment and within 24 hours of </w:t>
      </w:r>
      <w:r w:rsidR="006E777B">
        <w:rPr>
          <w:lang w:val="en-US"/>
        </w:rPr>
        <w:t>clerking</w:t>
      </w:r>
      <w:r w:rsidR="006E777B" w:rsidRPr="00FA7DB2">
        <w:rPr>
          <w:lang w:val="en-US"/>
        </w:rPr>
        <w:t xml:space="preserve"> </w:t>
      </w:r>
      <w:r w:rsidRPr="00FA7DB2">
        <w:rPr>
          <w:lang w:val="en-US"/>
        </w:rPr>
        <w:t xml:space="preserve">(or within 24 hours of admission if primary assessment completed in pre-op assessment).  The secondary assessment is to be undertaken in consultation with a Senior Medical member of staff, this is usually at post take ward round or sooner if their condition changes. </w:t>
      </w:r>
    </w:p>
    <w:p w14:paraId="70554152" w14:textId="77777777" w:rsidR="00FA7DB2" w:rsidRPr="00FA7DB2" w:rsidRDefault="00FA7DB2" w:rsidP="008622E1">
      <w:pPr>
        <w:pStyle w:val="BulletLevel1"/>
        <w:rPr>
          <w:lang w:val="en-US"/>
        </w:rPr>
      </w:pPr>
      <w:r w:rsidRPr="00FA7DB2">
        <w:rPr>
          <w:lang w:val="en-US"/>
        </w:rPr>
        <w:t>Patients with lower limb immobilisation that receive LMWH must have a secondary assessment completed including the review of blood analysis in fracture clinic prior to the supply of further doses.  It is the responsibility of the reviewing clinician to ensure that continuation of LMWH is appropriate and outweighs risk of harm to patients.</w:t>
      </w:r>
    </w:p>
    <w:p w14:paraId="0FA3A048" w14:textId="77777777" w:rsidR="002E006F" w:rsidRPr="002E006F" w:rsidRDefault="002E006F" w:rsidP="002E006F">
      <w:pPr>
        <w:rPr>
          <w:lang w:val="en-US"/>
        </w:rPr>
      </w:pPr>
    </w:p>
    <w:p w14:paraId="7C668F75" w14:textId="77777777" w:rsidR="00FA7DB2" w:rsidRDefault="00FA7DB2">
      <w:pPr>
        <w:rPr>
          <w:b/>
          <w:lang w:val="en-US"/>
        </w:rPr>
      </w:pPr>
      <w:bookmarkStart w:id="28" w:name="_Toc535239218"/>
      <w:bookmarkStart w:id="29" w:name="_Toc8738275"/>
      <w:r>
        <w:rPr>
          <w:lang w:val="en-US"/>
        </w:rPr>
        <w:br w:type="page"/>
      </w:r>
    </w:p>
    <w:p w14:paraId="678E7696" w14:textId="02CC8DBF" w:rsidR="002E006F" w:rsidRPr="002E006F" w:rsidRDefault="002E006F" w:rsidP="002E006F">
      <w:pPr>
        <w:pStyle w:val="Heading2"/>
        <w:rPr>
          <w:lang w:val="en-US"/>
        </w:rPr>
      </w:pPr>
      <w:bookmarkStart w:id="30" w:name="_Toc184025126"/>
      <w:r w:rsidRPr="002E006F">
        <w:rPr>
          <w:lang w:val="en-US"/>
        </w:rPr>
        <w:lastRenderedPageBreak/>
        <w:t>VTE Prophylaxis</w:t>
      </w:r>
      <w:bookmarkEnd w:id="28"/>
      <w:bookmarkEnd w:id="29"/>
      <w:bookmarkEnd w:id="30"/>
    </w:p>
    <w:p w14:paraId="5F683EC5" w14:textId="77777777" w:rsidR="002E006F" w:rsidRPr="002E006F" w:rsidRDefault="002E006F" w:rsidP="002E006F">
      <w:pPr>
        <w:rPr>
          <w:lang w:val="en-US"/>
        </w:rPr>
      </w:pPr>
    </w:p>
    <w:p w14:paraId="3D3CE315" w14:textId="77777777" w:rsidR="002E006F" w:rsidRPr="002E006F" w:rsidRDefault="002E006F" w:rsidP="002E006F">
      <w:pPr>
        <w:pStyle w:val="Heading3"/>
        <w:rPr>
          <w:lang w:val="en-US"/>
        </w:rPr>
      </w:pPr>
      <w:bookmarkStart w:id="31" w:name="_Toc535239219"/>
      <w:bookmarkStart w:id="32" w:name="_Toc8738276"/>
      <w:bookmarkStart w:id="33" w:name="_Toc184025127"/>
      <w:r w:rsidRPr="002E006F">
        <w:rPr>
          <w:lang w:val="en-US"/>
        </w:rPr>
        <w:t>Indications for prophylaxis consideration in all conditions</w:t>
      </w:r>
      <w:bookmarkEnd w:id="31"/>
      <w:bookmarkEnd w:id="32"/>
      <w:bookmarkEnd w:id="33"/>
    </w:p>
    <w:p w14:paraId="63E07C76" w14:textId="77777777" w:rsidR="002E006F" w:rsidRPr="002E006F" w:rsidRDefault="002E006F" w:rsidP="002E006F">
      <w:pPr>
        <w:rPr>
          <w:lang w:val="en-US"/>
        </w:rPr>
      </w:pPr>
    </w:p>
    <w:p w14:paraId="692AD01C" w14:textId="77777777" w:rsidR="00B13501" w:rsidRPr="00B13501" w:rsidRDefault="00B13501" w:rsidP="008622E1">
      <w:pPr>
        <w:pStyle w:val="BulletLevel1"/>
        <w:rPr>
          <w:lang w:val="en-US"/>
        </w:rPr>
      </w:pPr>
      <w:r w:rsidRPr="00B13501">
        <w:rPr>
          <w:lang w:val="en-US"/>
        </w:rPr>
        <w:t xml:space="preserve">All patients over the age of 16 </w:t>
      </w:r>
      <w:proofErr w:type="gramStart"/>
      <w:r w:rsidRPr="00B13501">
        <w:rPr>
          <w:lang w:val="en-US"/>
        </w:rPr>
        <w:t>years that</w:t>
      </w:r>
      <w:proofErr w:type="gramEnd"/>
      <w:r w:rsidRPr="00B13501">
        <w:rPr>
          <w:lang w:val="en-US"/>
        </w:rPr>
        <w:t xml:space="preserve"> have a lower limb cast, traumatic injury or significantly reduced mobility due to medical or surgical interventions </w:t>
      </w:r>
    </w:p>
    <w:p w14:paraId="2A7EB244" w14:textId="77777777" w:rsidR="00B13501" w:rsidRPr="00B13501" w:rsidRDefault="00B13501" w:rsidP="008622E1">
      <w:pPr>
        <w:pStyle w:val="BulletLevel1"/>
        <w:rPr>
          <w:lang w:val="en-US"/>
        </w:rPr>
      </w:pPr>
      <w:r w:rsidRPr="00B13501">
        <w:rPr>
          <w:lang w:val="en-US"/>
        </w:rPr>
        <w:t>Expected to have reduced mobility relative to normal state and / or significantly reduced mobility for 3 days or more, this includes surgical and trauma patients</w:t>
      </w:r>
    </w:p>
    <w:p w14:paraId="5989AA5A" w14:textId="77777777" w:rsidR="00B13501" w:rsidRPr="00B13501" w:rsidRDefault="00B13501" w:rsidP="008622E1">
      <w:pPr>
        <w:pStyle w:val="BulletLevel1"/>
        <w:rPr>
          <w:lang w:val="en-US"/>
        </w:rPr>
      </w:pPr>
      <w:r w:rsidRPr="00B13501">
        <w:rPr>
          <w:lang w:val="en-US"/>
        </w:rPr>
        <w:t>Total anaesthetic + surgical time &gt; 90 minutes</w:t>
      </w:r>
    </w:p>
    <w:p w14:paraId="11591BC2" w14:textId="77777777" w:rsidR="00B13501" w:rsidRPr="00B13501" w:rsidRDefault="00B13501" w:rsidP="008622E1">
      <w:pPr>
        <w:pStyle w:val="BulletLevel1"/>
        <w:rPr>
          <w:lang w:val="en-US"/>
        </w:rPr>
      </w:pPr>
      <w:r w:rsidRPr="00B13501">
        <w:rPr>
          <w:lang w:val="en-US"/>
        </w:rPr>
        <w:t>Surgery involves pelvis or lower limb and total anaesthetic + surgical time &gt; 60 minutes</w:t>
      </w:r>
    </w:p>
    <w:p w14:paraId="228AABE2" w14:textId="77777777" w:rsidR="00B13501" w:rsidRPr="00B13501" w:rsidRDefault="00B13501" w:rsidP="008622E1">
      <w:pPr>
        <w:pStyle w:val="BulletLevel1"/>
        <w:rPr>
          <w:lang w:val="en-US"/>
        </w:rPr>
      </w:pPr>
      <w:r w:rsidRPr="00B13501">
        <w:rPr>
          <w:lang w:val="en-US"/>
        </w:rPr>
        <w:t>Acute surgical admission with inflammatory or intra-abdominal condition</w:t>
      </w:r>
    </w:p>
    <w:p w14:paraId="3CF0BEBD" w14:textId="77777777" w:rsidR="00B13501" w:rsidRPr="00B13501" w:rsidRDefault="00B13501" w:rsidP="008622E1">
      <w:pPr>
        <w:pStyle w:val="BulletLevel1"/>
        <w:rPr>
          <w:lang w:val="en-US"/>
        </w:rPr>
      </w:pPr>
      <w:r w:rsidRPr="00B13501">
        <w:rPr>
          <w:lang w:val="en-US"/>
        </w:rPr>
        <w:t>Active cancer or receiving cancer treatment</w:t>
      </w:r>
    </w:p>
    <w:p w14:paraId="7AD236FE" w14:textId="77777777" w:rsidR="00B13501" w:rsidRPr="00B13501" w:rsidRDefault="00B13501" w:rsidP="008622E1">
      <w:pPr>
        <w:pStyle w:val="BulletLevel1"/>
        <w:rPr>
          <w:lang w:val="en-US"/>
        </w:rPr>
      </w:pPr>
      <w:r w:rsidRPr="00B13501">
        <w:rPr>
          <w:lang w:val="en-US"/>
        </w:rPr>
        <w:t>Age &gt; 60 years</w:t>
      </w:r>
    </w:p>
    <w:p w14:paraId="6D94A269" w14:textId="77777777" w:rsidR="00B13501" w:rsidRPr="00B13501" w:rsidRDefault="00B13501" w:rsidP="008622E1">
      <w:pPr>
        <w:pStyle w:val="BulletLevel1"/>
        <w:rPr>
          <w:lang w:val="en-US"/>
        </w:rPr>
      </w:pPr>
      <w:r w:rsidRPr="00B13501">
        <w:rPr>
          <w:lang w:val="en-US"/>
        </w:rPr>
        <w:t>Critical care admission</w:t>
      </w:r>
    </w:p>
    <w:p w14:paraId="7A2784F6" w14:textId="77777777" w:rsidR="00B13501" w:rsidRPr="00B13501" w:rsidRDefault="00B13501" w:rsidP="008622E1">
      <w:pPr>
        <w:pStyle w:val="BulletLevel1"/>
        <w:rPr>
          <w:lang w:val="en-US"/>
        </w:rPr>
      </w:pPr>
      <w:r w:rsidRPr="00B13501">
        <w:rPr>
          <w:lang w:val="en-US"/>
        </w:rPr>
        <w:t>Dehydration</w:t>
      </w:r>
    </w:p>
    <w:p w14:paraId="5924C415" w14:textId="77777777" w:rsidR="00B13501" w:rsidRPr="00B13501" w:rsidRDefault="00B13501" w:rsidP="008622E1">
      <w:pPr>
        <w:pStyle w:val="BulletLevel1"/>
        <w:rPr>
          <w:lang w:val="en-US"/>
        </w:rPr>
      </w:pPr>
      <w:proofErr w:type="gramStart"/>
      <w:r w:rsidRPr="00B13501">
        <w:rPr>
          <w:lang w:val="en-US"/>
        </w:rPr>
        <w:t>Known</w:t>
      </w:r>
      <w:proofErr w:type="gramEnd"/>
      <w:r w:rsidRPr="00B13501">
        <w:rPr>
          <w:lang w:val="en-US"/>
        </w:rPr>
        <w:t xml:space="preserve"> thrombophilia’s</w:t>
      </w:r>
    </w:p>
    <w:p w14:paraId="72833710" w14:textId="77777777" w:rsidR="00B13501" w:rsidRPr="00B13501" w:rsidRDefault="00B13501" w:rsidP="008622E1">
      <w:pPr>
        <w:pStyle w:val="BulletLevel1"/>
        <w:rPr>
          <w:lang w:val="en-US"/>
        </w:rPr>
      </w:pPr>
      <w:r w:rsidRPr="00B13501">
        <w:rPr>
          <w:lang w:val="en-US"/>
        </w:rPr>
        <w:t>Obesity (Body Mass Index (BMI) &gt; 30 kg/m</w:t>
      </w:r>
      <w:r w:rsidRPr="00B13501">
        <w:rPr>
          <w:vertAlign w:val="superscript"/>
          <w:lang w:val="en-US"/>
        </w:rPr>
        <w:t>2</w:t>
      </w:r>
      <w:r w:rsidRPr="00B13501">
        <w:rPr>
          <w:lang w:val="en-US"/>
        </w:rPr>
        <w:t>)</w:t>
      </w:r>
    </w:p>
    <w:p w14:paraId="2EE44E0F" w14:textId="4AAC338A" w:rsidR="00B13501" w:rsidRPr="00B13501" w:rsidRDefault="00B13501" w:rsidP="008622E1">
      <w:pPr>
        <w:pStyle w:val="BulletLevel1"/>
        <w:rPr>
          <w:lang w:val="en-US"/>
        </w:rPr>
      </w:pPr>
      <w:r w:rsidRPr="00B13501">
        <w:rPr>
          <w:lang w:val="en-US"/>
        </w:rPr>
        <w:t>One or more significant medical comorbidities (for example: heart disease; metabolic, endocrine or respiratory pathologies; renal failure; acute infectious diseases; inflammatory conditions)</w:t>
      </w:r>
    </w:p>
    <w:p w14:paraId="079368FF" w14:textId="47A49E35" w:rsidR="00B13501" w:rsidRPr="00B13501" w:rsidRDefault="00B13501" w:rsidP="008622E1">
      <w:pPr>
        <w:pStyle w:val="BulletLevel1"/>
        <w:rPr>
          <w:lang w:val="en-US"/>
        </w:rPr>
      </w:pPr>
      <w:r w:rsidRPr="00B13501">
        <w:rPr>
          <w:lang w:val="en-US"/>
        </w:rPr>
        <w:t>Current hormone therapy, e.g., tamoxifen, hormone replacement therapy (HRT; including testosterone replacement), oestrogen-containing contraception</w:t>
      </w:r>
    </w:p>
    <w:p w14:paraId="3D2FC66B" w14:textId="77777777" w:rsidR="00B13501" w:rsidRPr="00B13501" w:rsidRDefault="00B13501" w:rsidP="008622E1">
      <w:pPr>
        <w:pStyle w:val="BulletLevel1"/>
        <w:rPr>
          <w:lang w:val="en-US"/>
        </w:rPr>
      </w:pPr>
      <w:r w:rsidRPr="00B13501">
        <w:rPr>
          <w:lang w:val="en-US"/>
        </w:rPr>
        <w:t>Personal history or first-degree relative with a history of VTE</w:t>
      </w:r>
    </w:p>
    <w:p w14:paraId="6CDBD128" w14:textId="77777777" w:rsidR="00B13501" w:rsidRPr="00B13501" w:rsidRDefault="00B13501" w:rsidP="008622E1">
      <w:pPr>
        <w:pStyle w:val="BulletLevel1"/>
        <w:rPr>
          <w:lang w:val="en-US"/>
        </w:rPr>
      </w:pPr>
      <w:r w:rsidRPr="00B13501">
        <w:rPr>
          <w:lang w:val="en-US"/>
        </w:rPr>
        <w:t>Varicose veins with phlebitis (extensive varicositie)</w:t>
      </w:r>
    </w:p>
    <w:p w14:paraId="47F3E703" w14:textId="406D7652" w:rsidR="00B13501" w:rsidRDefault="00B13501" w:rsidP="008622E1">
      <w:pPr>
        <w:pStyle w:val="BulletLevel1"/>
        <w:rPr>
          <w:lang w:val="en-US"/>
        </w:rPr>
      </w:pPr>
      <w:r w:rsidRPr="00B13501">
        <w:rPr>
          <w:lang w:val="en-US"/>
        </w:rPr>
        <w:t xml:space="preserve">Active smoker </w:t>
      </w:r>
    </w:p>
    <w:p w14:paraId="1B91714E" w14:textId="77777777" w:rsidR="00B13501" w:rsidRPr="000C5CE6" w:rsidRDefault="00B13501" w:rsidP="008622E1">
      <w:pPr>
        <w:pStyle w:val="BulletLevel1"/>
        <w:rPr>
          <w:lang w:val="en-US"/>
        </w:rPr>
      </w:pPr>
      <w:r w:rsidRPr="000C5CE6">
        <w:rPr>
          <w:lang w:val="en-US"/>
        </w:rPr>
        <w:t>Recent hospital admission / recent major surgery within 90 days</w:t>
      </w:r>
    </w:p>
    <w:p w14:paraId="572DD167" w14:textId="77777777" w:rsidR="002E006F" w:rsidRPr="002E006F" w:rsidRDefault="002E006F" w:rsidP="002E006F">
      <w:pPr>
        <w:rPr>
          <w:lang w:val="en-US"/>
        </w:rPr>
      </w:pPr>
    </w:p>
    <w:p w14:paraId="13C7459F" w14:textId="77777777" w:rsidR="002E006F" w:rsidRPr="002E006F" w:rsidRDefault="002E006F" w:rsidP="002E006F">
      <w:pPr>
        <w:pStyle w:val="Heading2"/>
        <w:rPr>
          <w:lang w:val="en-US"/>
        </w:rPr>
      </w:pPr>
      <w:bookmarkStart w:id="34" w:name="_Toc535239220"/>
      <w:bookmarkStart w:id="35" w:name="_Toc8738277"/>
      <w:bookmarkStart w:id="36" w:name="_Toc184025128"/>
      <w:r w:rsidRPr="002E006F">
        <w:rPr>
          <w:lang w:val="en-US"/>
        </w:rPr>
        <w:t>General Recommendations Mechanical prophylaxis:</w:t>
      </w:r>
      <w:bookmarkEnd w:id="34"/>
      <w:bookmarkEnd w:id="35"/>
      <w:bookmarkEnd w:id="36"/>
    </w:p>
    <w:p w14:paraId="5EC69923" w14:textId="77777777" w:rsidR="002E006F" w:rsidRPr="002E006F" w:rsidRDefault="002E006F" w:rsidP="002E006F">
      <w:pPr>
        <w:rPr>
          <w:lang w:val="en-US"/>
        </w:rPr>
      </w:pPr>
    </w:p>
    <w:p w14:paraId="0FC049D5" w14:textId="448806DE" w:rsidR="00B13501" w:rsidRPr="002E006F" w:rsidRDefault="00B13501" w:rsidP="002E006F">
      <w:pPr>
        <w:rPr>
          <w:lang w:val="en-US"/>
        </w:rPr>
      </w:pPr>
      <w:r w:rsidRPr="00B13501">
        <w:rPr>
          <w:lang w:val="en-US"/>
        </w:rPr>
        <w:t xml:space="preserve">Mechanical prophylaxis entails the </w:t>
      </w:r>
      <w:proofErr w:type="gramStart"/>
      <w:r w:rsidRPr="00B13501">
        <w:rPr>
          <w:lang w:val="en-US"/>
        </w:rPr>
        <w:t>use</w:t>
      </w:r>
      <w:proofErr w:type="gramEnd"/>
      <w:r w:rsidRPr="00B13501">
        <w:rPr>
          <w:lang w:val="en-US"/>
        </w:rPr>
        <w:t xml:space="preserve"> Anti-embolism Stockings or Flowtron boots.  Consider for</w:t>
      </w:r>
      <w:r>
        <w:rPr>
          <w:lang w:val="en-US"/>
        </w:rPr>
        <w:t>:</w:t>
      </w:r>
    </w:p>
    <w:p w14:paraId="4FF71475" w14:textId="77777777" w:rsidR="002E006F" w:rsidRPr="002E006F" w:rsidRDefault="002E006F" w:rsidP="002E006F">
      <w:pPr>
        <w:rPr>
          <w:lang w:val="en-US"/>
        </w:rPr>
      </w:pPr>
    </w:p>
    <w:p w14:paraId="38CCEBA2" w14:textId="77777777" w:rsidR="00B13501" w:rsidRPr="000C5CE6" w:rsidRDefault="00B13501" w:rsidP="008622E1">
      <w:pPr>
        <w:pStyle w:val="BulletLevel1"/>
        <w:rPr>
          <w:lang w:val="en-US"/>
        </w:rPr>
      </w:pPr>
      <w:r w:rsidRPr="000C5CE6">
        <w:rPr>
          <w:lang w:val="en-US"/>
        </w:rPr>
        <w:t xml:space="preserve">All </w:t>
      </w:r>
      <w:r>
        <w:rPr>
          <w:lang w:val="en-US"/>
        </w:rPr>
        <w:t xml:space="preserve">surgical </w:t>
      </w:r>
      <w:r w:rsidRPr="000C5CE6">
        <w:rPr>
          <w:lang w:val="en-US"/>
        </w:rPr>
        <w:t>inpatients</w:t>
      </w:r>
      <w:r>
        <w:rPr>
          <w:lang w:val="en-US"/>
        </w:rPr>
        <w:t xml:space="preserve"> </w:t>
      </w:r>
      <w:r w:rsidRPr="000C5CE6">
        <w:rPr>
          <w:lang w:val="en-US"/>
        </w:rPr>
        <w:t>must be offered below knee compression stockings unless contraindicated.</w:t>
      </w:r>
    </w:p>
    <w:p w14:paraId="28787547" w14:textId="77777777" w:rsidR="00B13501" w:rsidRPr="000C5CE6" w:rsidRDefault="00B13501" w:rsidP="008622E1">
      <w:pPr>
        <w:pStyle w:val="BulletLevel1"/>
        <w:rPr>
          <w:lang w:val="en-US"/>
        </w:rPr>
      </w:pPr>
      <w:r w:rsidRPr="000C5CE6">
        <w:rPr>
          <w:lang w:val="en-US"/>
        </w:rPr>
        <w:t xml:space="preserve">Compression stockings or Flowtron boots must be considered for all patients at high risk of bleeding or in whom the use of pharmaceutical prophylaxis is contraindicated. </w:t>
      </w:r>
    </w:p>
    <w:p w14:paraId="3037ECF3" w14:textId="77777777" w:rsidR="00B13501" w:rsidRPr="000C5CE6" w:rsidRDefault="00B13501" w:rsidP="008622E1">
      <w:pPr>
        <w:pStyle w:val="BulletLevel1"/>
        <w:rPr>
          <w:lang w:val="en-US"/>
        </w:rPr>
      </w:pPr>
      <w:r w:rsidRPr="000C5CE6">
        <w:rPr>
          <w:lang w:val="en-US"/>
        </w:rPr>
        <w:t>Compression stockings / Flowtron boots may be considered as an adjunct to pharmaceutical prophylaxis.</w:t>
      </w:r>
    </w:p>
    <w:p w14:paraId="6C89FD0B" w14:textId="77777777" w:rsidR="00B13501" w:rsidRPr="000C5CE6" w:rsidRDefault="00B13501" w:rsidP="008622E1">
      <w:pPr>
        <w:pStyle w:val="BulletLevel1"/>
        <w:rPr>
          <w:lang w:val="en-US"/>
        </w:rPr>
      </w:pPr>
      <w:r w:rsidRPr="000C5CE6">
        <w:rPr>
          <w:lang w:val="en-US"/>
        </w:rPr>
        <w:lastRenderedPageBreak/>
        <w:t xml:space="preserve">Flowtron boots must be considered for all patients with suspected fracture neck of femur and / or long periods of immobilisation </w:t>
      </w:r>
      <w:proofErr w:type="gramStart"/>
      <w:r w:rsidRPr="000C5CE6">
        <w:rPr>
          <w:lang w:val="en-US"/>
        </w:rPr>
        <w:t>pre</w:t>
      </w:r>
      <w:proofErr w:type="gramEnd"/>
      <w:r w:rsidRPr="000C5CE6">
        <w:rPr>
          <w:lang w:val="en-US"/>
        </w:rPr>
        <w:t xml:space="preserve"> or post-surgery</w:t>
      </w:r>
    </w:p>
    <w:p w14:paraId="04BD75E0" w14:textId="77777777" w:rsidR="00B13501" w:rsidRPr="000C5CE6" w:rsidRDefault="00B13501" w:rsidP="008622E1">
      <w:pPr>
        <w:pStyle w:val="BulletLevel1"/>
        <w:rPr>
          <w:lang w:val="en-US"/>
        </w:rPr>
      </w:pPr>
      <w:r w:rsidRPr="000C5CE6">
        <w:rPr>
          <w:lang w:val="en-US"/>
        </w:rPr>
        <w:t xml:space="preserve">Flowtron boots are to be used in place of TED stockings for all patients admitted with or suspected of </w:t>
      </w:r>
      <w:proofErr w:type="gramStart"/>
      <w:r w:rsidRPr="000C5CE6">
        <w:rPr>
          <w:lang w:val="en-US"/>
        </w:rPr>
        <w:t>and</w:t>
      </w:r>
      <w:proofErr w:type="gramEnd"/>
      <w:r w:rsidRPr="000C5CE6">
        <w:rPr>
          <w:lang w:val="en-US"/>
        </w:rPr>
        <w:t xml:space="preserve"> acute stroke.</w:t>
      </w:r>
    </w:p>
    <w:p w14:paraId="0DF3C05D" w14:textId="77777777" w:rsidR="002E006F" w:rsidRPr="002E006F" w:rsidRDefault="002E006F" w:rsidP="002E006F">
      <w:pPr>
        <w:rPr>
          <w:lang w:val="en-US"/>
        </w:rPr>
      </w:pPr>
    </w:p>
    <w:p w14:paraId="7D73EB47" w14:textId="77777777" w:rsidR="00DD3621" w:rsidRPr="00DD3621" w:rsidRDefault="00DD3621" w:rsidP="00DD3621">
      <w:pPr>
        <w:pStyle w:val="Heading3"/>
        <w:rPr>
          <w:lang w:val="en-US"/>
        </w:rPr>
      </w:pPr>
      <w:bookmarkStart w:id="37" w:name="_Toc184025129"/>
      <w:r w:rsidRPr="00DD3621">
        <w:rPr>
          <w:lang w:val="en-US"/>
        </w:rPr>
        <w:t>Contraindications to the use of knee / thigh anti-embolism stockings</w:t>
      </w:r>
      <w:bookmarkEnd w:id="37"/>
    </w:p>
    <w:p w14:paraId="1439CEEF" w14:textId="77777777" w:rsidR="002E006F" w:rsidRPr="002E006F" w:rsidRDefault="002E006F" w:rsidP="002E006F">
      <w:pPr>
        <w:rPr>
          <w:lang w:val="en-US"/>
        </w:rPr>
      </w:pPr>
    </w:p>
    <w:p w14:paraId="499356A6" w14:textId="77777777" w:rsidR="00DD3621" w:rsidRPr="00DD3621" w:rsidRDefault="00DD3621" w:rsidP="008622E1">
      <w:pPr>
        <w:pStyle w:val="BulletLevel1"/>
        <w:rPr>
          <w:lang w:val="en-US"/>
        </w:rPr>
      </w:pPr>
      <w:r w:rsidRPr="00DD3621">
        <w:rPr>
          <w:lang w:val="en-US"/>
        </w:rPr>
        <w:t>Suspected or proven peripheral arterial disease</w:t>
      </w:r>
    </w:p>
    <w:p w14:paraId="346FFC57" w14:textId="77777777" w:rsidR="00DD3621" w:rsidRPr="00DD3621" w:rsidRDefault="00DD3621" w:rsidP="008622E1">
      <w:pPr>
        <w:pStyle w:val="BulletLevel1"/>
        <w:rPr>
          <w:lang w:val="en-US"/>
        </w:rPr>
      </w:pPr>
      <w:r w:rsidRPr="00DD3621">
        <w:rPr>
          <w:lang w:val="en-US"/>
        </w:rPr>
        <w:t>Peripheral arterial bypass grafting</w:t>
      </w:r>
    </w:p>
    <w:p w14:paraId="47306DDF" w14:textId="34552634" w:rsidR="00DD3621" w:rsidRPr="00DD3621" w:rsidRDefault="00DD3621" w:rsidP="008622E1">
      <w:pPr>
        <w:pStyle w:val="BulletLevel1"/>
        <w:rPr>
          <w:lang w:val="en-US"/>
        </w:rPr>
      </w:pPr>
      <w:r w:rsidRPr="00DD3621">
        <w:rPr>
          <w:lang w:val="en-US"/>
        </w:rPr>
        <w:t xml:space="preserve">Peripheral neuropathy or other causes </w:t>
      </w:r>
      <w:r w:rsidR="00B646A2" w:rsidRPr="00DD3621">
        <w:rPr>
          <w:lang w:val="en-US"/>
        </w:rPr>
        <w:t>of sensory</w:t>
      </w:r>
      <w:r w:rsidRPr="00DD3621">
        <w:rPr>
          <w:lang w:val="en-US"/>
        </w:rPr>
        <w:t xml:space="preserve"> impairment</w:t>
      </w:r>
    </w:p>
    <w:p w14:paraId="27F3DCCE" w14:textId="77777777" w:rsidR="00DD3621" w:rsidRPr="00DD3621" w:rsidRDefault="00DD3621" w:rsidP="008622E1">
      <w:pPr>
        <w:pStyle w:val="BulletLevel1"/>
        <w:rPr>
          <w:lang w:val="en-US"/>
        </w:rPr>
      </w:pPr>
      <w:r w:rsidRPr="00DD3621">
        <w:rPr>
          <w:lang w:val="en-US"/>
        </w:rPr>
        <w:t>Local condition in which stockings may cause damage, such as fragile 'tissue paper' skin, dermatitis, gangrene or recent skin graft</w:t>
      </w:r>
    </w:p>
    <w:p w14:paraId="516A87AD" w14:textId="77777777" w:rsidR="00DD3621" w:rsidRPr="00DD3621" w:rsidRDefault="00DD3621" w:rsidP="008622E1">
      <w:pPr>
        <w:pStyle w:val="BulletLevel1"/>
        <w:rPr>
          <w:lang w:val="en-US"/>
        </w:rPr>
      </w:pPr>
      <w:r w:rsidRPr="00DD3621">
        <w:rPr>
          <w:lang w:val="en-US"/>
        </w:rPr>
        <w:t>Known allergy to material of manufacture</w:t>
      </w:r>
    </w:p>
    <w:p w14:paraId="7EE3E491" w14:textId="77777777" w:rsidR="00DD3621" w:rsidRPr="00DD3621" w:rsidRDefault="00DD3621" w:rsidP="008622E1">
      <w:pPr>
        <w:pStyle w:val="BulletLevel1"/>
        <w:rPr>
          <w:lang w:val="en-US"/>
        </w:rPr>
      </w:pPr>
      <w:r w:rsidRPr="00DD3621">
        <w:rPr>
          <w:lang w:val="en-US"/>
        </w:rPr>
        <w:t>Severe leg oedema or pulmonary oedema from congestive heart failure</w:t>
      </w:r>
    </w:p>
    <w:p w14:paraId="07C47E06" w14:textId="77777777" w:rsidR="00DD3621" w:rsidRPr="00DD3621" w:rsidRDefault="00DD3621" w:rsidP="008622E1">
      <w:pPr>
        <w:pStyle w:val="BulletLevel1"/>
        <w:rPr>
          <w:lang w:val="en-US"/>
        </w:rPr>
      </w:pPr>
      <w:r w:rsidRPr="00DD3621">
        <w:rPr>
          <w:lang w:val="en-US"/>
        </w:rPr>
        <w:t>Unusual leg size or shape</w:t>
      </w:r>
    </w:p>
    <w:p w14:paraId="18235CA9" w14:textId="77777777" w:rsidR="00DD3621" w:rsidRPr="00DD3621" w:rsidRDefault="00DD3621" w:rsidP="008622E1">
      <w:pPr>
        <w:pStyle w:val="BulletLevel1"/>
        <w:rPr>
          <w:lang w:val="en-US"/>
        </w:rPr>
      </w:pPr>
      <w:r w:rsidRPr="00DD3621">
        <w:rPr>
          <w:lang w:val="en-US"/>
        </w:rPr>
        <w:t xml:space="preserve">Major limb deformity </w:t>
      </w:r>
      <w:proofErr w:type="gramStart"/>
      <w:r w:rsidRPr="00DD3621">
        <w:rPr>
          <w:lang w:val="en-US"/>
        </w:rPr>
        <w:t>preventing</w:t>
      </w:r>
      <w:proofErr w:type="gramEnd"/>
      <w:r w:rsidRPr="00DD3621">
        <w:rPr>
          <w:lang w:val="en-US"/>
        </w:rPr>
        <w:t xml:space="preserve"> correct fit.</w:t>
      </w:r>
    </w:p>
    <w:p w14:paraId="1FA686E1" w14:textId="77777777" w:rsidR="00DD3621" w:rsidRPr="00DD3621" w:rsidRDefault="00DD3621" w:rsidP="008622E1">
      <w:pPr>
        <w:pStyle w:val="BulletLevel1"/>
        <w:rPr>
          <w:lang w:val="en-US"/>
        </w:rPr>
      </w:pPr>
      <w:r w:rsidRPr="00DD3621">
        <w:rPr>
          <w:lang w:val="en-US"/>
        </w:rPr>
        <w:t>Acute stroke (Use Flowtron pneumatic devices)</w:t>
      </w:r>
    </w:p>
    <w:p w14:paraId="50679010" w14:textId="77777777" w:rsidR="002E006F" w:rsidRPr="002E006F" w:rsidRDefault="002E006F" w:rsidP="002E006F">
      <w:pPr>
        <w:rPr>
          <w:lang w:val="en-US"/>
        </w:rPr>
      </w:pPr>
    </w:p>
    <w:p w14:paraId="300EA2E9" w14:textId="77777777" w:rsidR="002E006F" w:rsidRPr="002E006F" w:rsidRDefault="002E006F" w:rsidP="002E006F">
      <w:pPr>
        <w:pStyle w:val="Heading3"/>
        <w:rPr>
          <w:lang w:val="en-US"/>
        </w:rPr>
      </w:pPr>
      <w:bookmarkStart w:id="38" w:name="_Toc535239222"/>
      <w:bookmarkStart w:id="39" w:name="_Toc8738279"/>
      <w:bookmarkStart w:id="40" w:name="_Toc184025130"/>
      <w:r w:rsidRPr="002E006F">
        <w:rPr>
          <w:lang w:val="en-US"/>
        </w:rPr>
        <w:t>General recommendations for pharmacological prophylaxis</w:t>
      </w:r>
      <w:bookmarkEnd w:id="38"/>
      <w:bookmarkEnd w:id="39"/>
      <w:bookmarkEnd w:id="40"/>
    </w:p>
    <w:p w14:paraId="3C8C8A1B" w14:textId="77777777" w:rsidR="002E006F" w:rsidRPr="002E006F" w:rsidRDefault="002E006F" w:rsidP="002E006F">
      <w:pPr>
        <w:rPr>
          <w:lang w:val="en-US"/>
        </w:rPr>
      </w:pPr>
    </w:p>
    <w:p w14:paraId="769AEFE4" w14:textId="58B8F6F0" w:rsidR="002E006F" w:rsidRPr="002E006F" w:rsidRDefault="002E006F" w:rsidP="002E006F">
      <w:pPr>
        <w:rPr>
          <w:lang w:val="en-US"/>
        </w:rPr>
      </w:pPr>
      <w:r w:rsidRPr="002E006F">
        <w:rPr>
          <w:lang w:val="en-US"/>
        </w:rPr>
        <w:t xml:space="preserve">Pharmacological prophylaxis should be with </w:t>
      </w:r>
      <w:r w:rsidR="006527AF">
        <w:rPr>
          <w:lang w:val="en-US"/>
        </w:rPr>
        <w:t>enoxaparin</w:t>
      </w:r>
      <w:r w:rsidRPr="002E006F">
        <w:rPr>
          <w:lang w:val="en-US"/>
        </w:rPr>
        <w:t>.</w:t>
      </w:r>
      <w:r w:rsidR="00B646A2">
        <w:rPr>
          <w:lang w:val="en-US"/>
        </w:rPr>
        <w:t xml:space="preserve"> </w:t>
      </w:r>
      <w:r w:rsidRPr="002E006F">
        <w:rPr>
          <w:lang w:val="en-US"/>
        </w:rPr>
        <w:t xml:space="preserve"> If this is contraindicated and pharmacological management is considered </w:t>
      </w:r>
      <w:r w:rsidR="00465FA1" w:rsidRPr="002E006F">
        <w:rPr>
          <w:lang w:val="en-US"/>
        </w:rPr>
        <w:t>necessary,</w:t>
      </w:r>
      <w:r w:rsidRPr="002E006F">
        <w:rPr>
          <w:lang w:val="en-US"/>
        </w:rPr>
        <w:t xml:space="preserve"> contact haematology for advice.</w:t>
      </w:r>
    </w:p>
    <w:p w14:paraId="30F205F9" w14:textId="77777777" w:rsidR="002E006F" w:rsidRPr="002E006F" w:rsidRDefault="002E006F" w:rsidP="002E006F">
      <w:pPr>
        <w:rPr>
          <w:lang w:val="en-US"/>
        </w:rPr>
      </w:pPr>
    </w:p>
    <w:p w14:paraId="1AC5F842" w14:textId="77777777" w:rsidR="00DD3621" w:rsidRPr="00DD3621" w:rsidRDefault="00DD3621" w:rsidP="008622E1">
      <w:pPr>
        <w:pStyle w:val="BulletLevel1"/>
        <w:rPr>
          <w:lang w:val="en-US"/>
        </w:rPr>
      </w:pPr>
      <w:r w:rsidRPr="00DD3621">
        <w:rPr>
          <w:lang w:val="en-US"/>
        </w:rPr>
        <w:t>All patients must have a Full Blood Count (FBC) and Biochemistry Profile performed before treatment commences.</w:t>
      </w:r>
    </w:p>
    <w:p w14:paraId="37D1B350" w14:textId="77777777" w:rsidR="00DD3621" w:rsidRPr="00DD3621" w:rsidRDefault="00DD3621" w:rsidP="008622E1">
      <w:pPr>
        <w:pStyle w:val="BulletLevel1"/>
        <w:rPr>
          <w:lang w:val="en-US"/>
        </w:rPr>
      </w:pPr>
      <w:r w:rsidRPr="00DD3621">
        <w:rPr>
          <w:lang w:val="en-US"/>
        </w:rPr>
        <w:t>Platelets must be greater than 75x10</w:t>
      </w:r>
      <w:r w:rsidRPr="00DD3621">
        <w:rPr>
          <w:vertAlign w:val="superscript"/>
          <w:lang w:val="en-US"/>
        </w:rPr>
        <w:t>9</w:t>
      </w:r>
      <w:r w:rsidRPr="00DD3621">
        <w:rPr>
          <w:lang w:val="en-US"/>
        </w:rPr>
        <w:t>/L prior to first dose. Renal function must have an eGFR &gt;30ml/minute/1.73m</w:t>
      </w:r>
      <w:r w:rsidRPr="00DD3621">
        <w:rPr>
          <w:vertAlign w:val="superscript"/>
          <w:lang w:val="en-US"/>
        </w:rPr>
        <w:t>2</w:t>
      </w:r>
      <w:r w:rsidRPr="00DD3621">
        <w:rPr>
          <w:lang w:val="en-US"/>
        </w:rPr>
        <w:t>.  If parameters are outside these see section 5.6.1</w:t>
      </w:r>
    </w:p>
    <w:p w14:paraId="02D8D028" w14:textId="77777777" w:rsidR="00DD3621" w:rsidRPr="00DD3621" w:rsidRDefault="00DD3621" w:rsidP="008622E1">
      <w:pPr>
        <w:pStyle w:val="BulletLevel1"/>
        <w:rPr>
          <w:lang w:val="en-US"/>
        </w:rPr>
      </w:pPr>
      <w:r w:rsidRPr="00DD3621">
        <w:rPr>
          <w:lang w:val="en-US"/>
        </w:rPr>
        <w:t xml:space="preserve">Administer daily as prescribed. Encourage patients to learn to self-administer wherever possible. </w:t>
      </w:r>
    </w:p>
    <w:p w14:paraId="52B64048" w14:textId="77777777" w:rsidR="00DD3621" w:rsidRPr="00DD3621" w:rsidRDefault="00DD3621" w:rsidP="008622E1">
      <w:pPr>
        <w:pStyle w:val="BulletLevel1"/>
        <w:rPr>
          <w:lang w:val="en-US"/>
        </w:rPr>
      </w:pPr>
      <w:r w:rsidRPr="00DD3621">
        <w:rPr>
          <w:lang w:val="en-US"/>
        </w:rPr>
        <w:t>Document training given in the patient health record.</w:t>
      </w:r>
    </w:p>
    <w:p w14:paraId="34CCFB60" w14:textId="77777777" w:rsidR="00DD3621" w:rsidRPr="00DD3621" w:rsidRDefault="00DD3621" w:rsidP="008622E1">
      <w:pPr>
        <w:pStyle w:val="BulletLevel1"/>
        <w:rPr>
          <w:lang w:val="en-US"/>
        </w:rPr>
      </w:pPr>
      <w:r w:rsidRPr="00DD3621">
        <w:rPr>
          <w:lang w:val="en-US"/>
        </w:rPr>
        <w:t>Provide patients with the Patient Information Leaflet and any relevant emergency contact numbers where applicable.</w:t>
      </w:r>
    </w:p>
    <w:p w14:paraId="36D46DF6" w14:textId="77777777" w:rsidR="00DD3621" w:rsidRPr="00DD3621" w:rsidRDefault="00DD3621" w:rsidP="008622E1">
      <w:pPr>
        <w:pStyle w:val="BulletLevel1"/>
        <w:rPr>
          <w:lang w:val="en-US"/>
        </w:rPr>
      </w:pPr>
      <w:r w:rsidRPr="00DD3621">
        <w:rPr>
          <w:lang w:val="en-US"/>
        </w:rPr>
        <w:t>If patients are allergic or do not consent to porcine derived products contact Pharmacy for advice.</w:t>
      </w:r>
    </w:p>
    <w:p w14:paraId="2B012A4F" w14:textId="77777777" w:rsidR="002E006F" w:rsidRPr="002E006F" w:rsidRDefault="002E006F" w:rsidP="002E006F">
      <w:pPr>
        <w:rPr>
          <w:lang w:val="en-US"/>
        </w:rPr>
      </w:pPr>
    </w:p>
    <w:p w14:paraId="1EF9AA63" w14:textId="77777777" w:rsidR="00DD3621" w:rsidRDefault="00DD3621">
      <w:pPr>
        <w:rPr>
          <w:b/>
          <w:bCs w:val="0"/>
          <w:lang w:val="en-US"/>
        </w:rPr>
      </w:pPr>
      <w:r>
        <w:rPr>
          <w:lang w:val="en-US"/>
        </w:rPr>
        <w:br w:type="page"/>
      </w:r>
    </w:p>
    <w:p w14:paraId="0EE11AF4" w14:textId="7780B055" w:rsidR="002E006F" w:rsidRPr="002E006F" w:rsidRDefault="002E006F" w:rsidP="002E006F">
      <w:pPr>
        <w:pStyle w:val="Heading4"/>
        <w:rPr>
          <w:lang w:val="en-US"/>
        </w:rPr>
      </w:pPr>
      <w:r w:rsidRPr="002E006F">
        <w:rPr>
          <w:lang w:val="en-US"/>
        </w:rPr>
        <w:lastRenderedPageBreak/>
        <w:t>For patients being discharged with LMWH treatment / including those with lower limb mobility restrictions</w:t>
      </w:r>
    </w:p>
    <w:p w14:paraId="6CD3AEC5" w14:textId="77777777" w:rsidR="002E006F" w:rsidRPr="002E006F" w:rsidRDefault="002E006F" w:rsidP="002E006F">
      <w:pPr>
        <w:rPr>
          <w:lang w:val="en-US"/>
        </w:rPr>
      </w:pPr>
    </w:p>
    <w:p w14:paraId="61B7A755" w14:textId="77777777" w:rsidR="00F547EB" w:rsidRPr="00F547EB" w:rsidRDefault="00F547EB" w:rsidP="008622E1">
      <w:pPr>
        <w:pStyle w:val="BulletLevel1"/>
        <w:rPr>
          <w:lang w:val="en-US"/>
        </w:rPr>
      </w:pPr>
      <w:r w:rsidRPr="00F547EB">
        <w:rPr>
          <w:lang w:val="en-US"/>
        </w:rPr>
        <w:t>Prescribe and supply an appropriate number of doses.  Patients being started prior to review at fracture clinic should be given sufficient doses to last until the fracture clinic appointment.</w:t>
      </w:r>
    </w:p>
    <w:p w14:paraId="5D9B429E" w14:textId="77777777" w:rsidR="00F547EB" w:rsidRPr="00F547EB" w:rsidRDefault="00F547EB" w:rsidP="008622E1">
      <w:pPr>
        <w:pStyle w:val="BulletLevel1"/>
        <w:rPr>
          <w:lang w:val="en-US"/>
        </w:rPr>
      </w:pPr>
      <w:r w:rsidRPr="00F547EB">
        <w:rPr>
          <w:lang w:val="en-US"/>
        </w:rPr>
        <w:t>Provide a sharps bin and give advice regarding disposal (bring back to clinic or take the sealed bin to a local pharmacy).</w:t>
      </w:r>
    </w:p>
    <w:p w14:paraId="28577FF7" w14:textId="77777777" w:rsidR="00F547EB" w:rsidRPr="00F547EB" w:rsidRDefault="00F547EB" w:rsidP="008622E1">
      <w:pPr>
        <w:pStyle w:val="BulletLevel1"/>
        <w:rPr>
          <w:lang w:val="en-US"/>
        </w:rPr>
      </w:pPr>
      <w:r w:rsidRPr="00F547EB">
        <w:rPr>
          <w:lang w:val="en-US"/>
        </w:rPr>
        <w:t>If the patient and carer(s) cannot administer, then complete an electronic District Nurse referral.</w:t>
      </w:r>
    </w:p>
    <w:p w14:paraId="3FD4F508" w14:textId="66B10889" w:rsidR="00F547EB" w:rsidRPr="00F547EB" w:rsidRDefault="00F547EB" w:rsidP="008622E1">
      <w:pPr>
        <w:pStyle w:val="BulletLevel1"/>
        <w:rPr>
          <w:lang w:val="en-US"/>
        </w:rPr>
      </w:pPr>
      <w:r w:rsidRPr="00F547EB">
        <w:rPr>
          <w:lang w:val="en-US"/>
        </w:rPr>
        <w:t xml:space="preserve">Complete relevant communications to the patient’s GP, </w:t>
      </w:r>
      <w:r w:rsidR="00B646A2" w:rsidRPr="00F547EB">
        <w:rPr>
          <w:lang w:val="en-US"/>
        </w:rPr>
        <w:t>e.g.,</w:t>
      </w:r>
      <w:r w:rsidRPr="00F547EB">
        <w:rPr>
          <w:lang w:val="en-US"/>
        </w:rPr>
        <w:t xml:space="preserve"> the e-discharge letter, including details of the LMWH treatment, its intended duration and any monitoring required.</w:t>
      </w:r>
    </w:p>
    <w:p w14:paraId="67C906A0" w14:textId="4E01D81D" w:rsidR="00F547EB" w:rsidRPr="00F547EB" w:rsidRDefault="00F547EB" w:rsidP="008622E1">
      <w:pPr>
        <w:pStyle w:val="BulletLevel1"/>
        <w:rPr>
          <w:lang w:val="en-US"/>
        </w:rPr>
      </w:pPr>
      <w:r w:rsidRPr="00F547EB">
        <w:rPr>
          <w:lang w:val="en-US"/>
        </w:rPr>
        <w:t xml:space="preserve">Confirm any </w:t>
      </w:r>
      <w:proofErr w:type="gramStart"/>
      <w:r w:rsidRPr="00F547EB">
        <w:rPr>
          <w:lang w:val="en-US"/>
        </w:rPr>
        <w:t>follow up</w:t>
      </w:r>
      <w:proofErr w:type="gramEnd"/>
      <w:r w:rsidRPr="00F547EB">
        <w:rPr>
          <w:lang w:val="en-US"/>
        </w:rPr>
        <w:t xml:space="preserve"> appointments, </w:t>
      </w:r>
      <w:r w:rsidR="00B646A2" w:rsidRPr="00F547EB">
        <w:rPr>
          <w:lang w:val="en-US"/>
        </w:rPr>
        <w:t>e.g.,</w:t>
      </w:r>
      <w:r w:rsidRPr="00F547EB">
        <w:rPr>
          <w:lang w:val="en-US"/>
        </w:rPr>
        <w:t xml:space="preserve"> with fracture clinic.</w:t>
      </w:r>
    </w:p>
    <w:p w14:paraId="381CA20A" w14:textId="77777777" w:rsidR="002E006F" w:rsidRPr="002E006F" w:rsidRDefault="002E006F" w:rsidP="002E006F">
      <w:pPr>
        <w:rPr>
          <w:lang w:val="en-US"/>
        </w:rPr>
      </w:pPr>
    </w:p>
    <w:p w14:paraId="3D812D67" w14:textId="77777777" w:rsidR="002E006F" w:rsidRPr="002E006F" w:rsidRDefault="002E006F" w:rsidP="002E006F">
      <w:pPr>
        <w:pStyle w:val="Heading4"/>
        <w:rPr>
          <w:lang w:val="en-US"/>
        </w:rPr>
      </w:pPr>
      <w:r w:rsidRPr="002E006F">
        <w:rPr>
          <w:lang w:val="en-US"/>
        </w:rPr>
        <w:t>Initiation of pharmaceutical prophylaxis for lower leg cast and /or reduced immobilisation</w:t>
      </w:r>
    </w:p>
    <w:p w14:paraId="1FB7A51B" w14:textId="77777777" w:rsidR="002E006F" w:rsidRPr="002E006F" w:rsidRDefault="002E006F" w:rsidP="002E006F">
      <w:pPr>
        <w:rPr>
          <w:lang w:val="en-US"/>
        </w:rPr>
      </w:pPr>
    </w:p>
    <w:p w14:paraId="54FDD851" w14:textId="26105939" w:rsidR="00F547EB" w:rsidRPr="00F547EB" w:rsidRDefault="00F547EB" w:rsidP="008622E1">
      <w:pPr>
        <w:pStyle w:val="BulletLevel1"/>
        <w:rPr>
          <w:lang w:val="en-US"/>
        </w:rPr>
      </w:pPr>
      <w:proofErr w:type="gramStart"/>
      <w:r w:rsidRPr="00F547EB">
        <w:rPr>
          <w:lang w:val="en-US"/>
        </w:rPr>
        <w:t>Bloods</w:t>
      </w:r>
      <w:proofErr w:type="gramEnd"/>
      <w:r w:rsidRPr="00F547EB">
        <w:rPr>
          <w:lang w:val="en-US"/>
        </w:rPr>
        <w:t xml:space="preserve"> must be taken in Emergency Department (ED) prior to the administration of LMWH. (Platelets must be 75x10</w:t>
      </w:r>
      <w:r w:rsidRPr="00F547EB">
        <w:rPr>
          <w:vertAlign w:val="superscript"/>
          <w:lang w:val="en-US"/>
        </w:rPr>
        <w:t>9</w:t>
      </w:r>
      <w:r w:rsidRPr="00F547EB">
        <w:rPr>
          <w:lang w:val="en-US"/>
        </w:rPr>
        <w:t xml:space="preserve">/L prior to first dose) </w:t>
      </w:r>
    </w:p>
    <w:p w14:paraId="29608A9F" w14:textId="77777777" w:rsidR="00F547EB" w:rsidRPr="00F547EB" w:rsidRDefault="00F547EB" w:rsidP="008622E1">
      <w:pPr>
        <w:pStyle w:val="BulletLevel1"/>
        <w:rPr>
          <w:lang w:val="en-US"/>
        </w:rPr>
      </w:pPr>
      <w:r w:rsidRPr="00F547EB">
        <w:rPr>
          <w:lang w:val="en-US"/>
        </w:rPr>
        <w:t>First dose of LMWH to be administered in the ED (as per weight related dosing regimen) 4 doses of LMWH to be provided prior to discharge from the ED.</w:t>
      </w:r>
    </w:p>
    <w:p w14:paraId="77B2BE84" w14:textId="051E164C" w:rsidR="00F547EB" w:rsidRPr="00F547EB" w:rsidRDefault="00F547EB" w:rsidP="008622E1">
      <w:pPr>
        <w:pStyle w:val="BulletLevel1"/>
        <w:rPr>
          <w:lang w:val="en-US"/>
        </w:rPr>
      </w:pPr>
      <w:r w:rsidRPr="00F547EB">
        <w:rPr>
          <w:lang w:val="en-US"/>
        </w:rPr>
        <w:t xml:space="preserve">Blood results to be reviewed in </w:t>
      </w:r>
      <w:r w:rsidRPr="00526868">
        <w:t>orthopaedic</w:t>
      </w:r>
      <w:r w:rsidRPr="00F547EB">
        <w:rPr>
          <w:lang w:val="en-US"/>
        </w:rPr>
        <w:t xml:space="preserve"> </w:t>
      </w:r>
      <w:r w:rsidR="00526868">
        <w:rPr>
          <w:lang w:val="en-US"/>
        </w:rPr>
        <w:t>fracture</w:t>
      </w:r>
      <w:r w:rsidRPr="00F547EB">
        <w:rPr>
          <w:lang w:val="en-US"/>
        </w:rPr>
        <w:t xml:space="preserve"> clinic at first appointment. </w:t>
      </w:r>
    </w:p>
    <w:p w14:paraId="1F43B61B" w14:textId="77777777" w:rsidR="00F547EB" w:rsidRPr="00F547EB" w:rsidRDefault="00F547EB" w:rsidP="008622E1">
      <w:pPr>
        <w:pStyle w:val="BulletLevel1"/>
        <w:rPr>
          <w:lang w:val="en-US"/>
        </w:rPr>
      </w:pPr>
      <w:r w:rsidRPr="00F547EB">
        <w:rPr>
          <w:lang w:val="en-US"/>
        </w:rPr>
        <w:t xml:space="preserve">Subsequent supply of LMWH to be provided at first </w:t>
      </w:r>
      <w:r w:rsidRPr="00526868">
        <w:t>orthopaedic</w:t>
      </w:r>
      <w:r w:rsidRPr="00F547EB">
        <w:rPr>
          <w:lang w:val="en-US"/>
        </w:rPr>
        <w:t xml:space="preserve"> clinic when blood results are confirmed to be within acceptable ranges. </w:t>
      </w:r>
    </w:p>
    <w:p w14:paraId="03ADEFDF" w14:textId="77777777" w:rsidR="00F547EB" w:rsidRPr="00F547EB" w:rsidRDefault="00F547EB" w:rsidP="008622E1">
      <w:pPr>
        <w:pStyle w:val="BulletLevel1"/>
        <w:rPr>
          <w:lang w:val="en-US"/>
        </w:rPr>
      </w:pPr>
      <w:r w:rsidRPr="00F547EB">
        <w:rPr>
          <w:lang w:val="en-US"/>
        </w:rPr>
        <w:t xml:space="preserve">Ensure patient / carer able to self-administer LMWH.  Provide information and </w:t>
      </w:r>
      <w:proofErr w:type="gramStart"/>
      <w:r w:rsidRPr="00F547EB">
        <w:rPr>
          <w:lang w:val="en-US"/>
        </w:rPr>
        <w:t>document</w:t>
      </w:r>
      <w:proofErr w:type="gramEnd"/>
      <w:r w:rsidRPr="00F547EB">
        <w:rPr>
          <w:lang w:val="en-US"/>
        </w:rPr>
        <w:t xml:space="preserve"> in education and consent within patient health </w:t>
      </w:r>
      <w:proofErr w:type="gramStart"/>
      <w:r w:rsidRPr="00F547EB">
        <w:rPr>
          <w:lang w:val="en-US"/>
        </w:rPr>
        <w:t>record</w:t>
      </w:r>
      <w:proofErr w:type="gramEnd"/>
      <w:r w:rsidRPr="00F547EB">
        <w:rPr>
          <w:lang w:val="en-US"/>
        </w:rPr>
        <w:t xml:space="preserve">. </w:t>
      </w:r>
    </w:p>
    <w:p w14:paraId="42D7EB1E" w14:textId="2E83FB8C" w:rsidR="00F547EB" w:rsidRPr="00F547EB" w:rsidRDefault="00F547EB" w:rsidP="008622E1">
      <w:pPr>
        <w:pStyle w:val="BulletLevel1"/>
        <w:rPr>
          <w:lang w:val="en-US"/>
        </w:rPr>
      </w:pPr>
      <w:r w:rsidRPr="00F547EB">
        <w:rPr>
          <w:lang w:val="en-US"/>
        </w:rPr>
        <w:t>Provide patient information leaflet (</w:t>
      </w:r>
      <w:hyperlink r:id="rId15" w:history="1">
        <w:r w:rsidRPr="004143FF">
          <w:rPr>
            <w:rStyle w:val="Hyperlink"/>
            <w:lang w:val="en-US"/>
          </w:rPr>
          <w:t>PL</w:t>
        </w:r>
        <w:r w:rsidR="004E6FF0" w:rsidRPr="004143FF">
          <w:rPr>
            <w:rStyle w:val="Hyperlink"/>
            <w:lang w:val="en-US"/>
          </w:rPr>
          <w:t>/</w:t>
        </w:r>
        <w:r w:rsidRPr="004143FF">
          <w:rPr>
            <w:rStyle w:val="Hyperlink"/>
            <w:lang w:val="en-US"/>
          </w:rPr>
          <w:t>1005</w:t>
        </w:r>
      </w:hyperlink>
      <w:sdt>
        <w:sdtPr>
          <w:rPr>
            <w:lang w:val="en-US"/>
          </w:rPr>
          <w:id w:val="1484970943"/>
          <w:citation/>
        </w:sdtPr>
        <w:sdtEndPr/>
        <w:sdtContent>
          <w:r>
            <w:rPr>
              <w:lang w:val="en-US"/>
            </w:rPr>
            <w:fldChar w:fldCharType="begin"/>
          </w:r>
          <w:r w:rsidR="000824D5">
            <w:instrText xml:space="preserve">CITATION BTH1965 \l 2057 </w:instrText>
          </w:r>
          <w:r>
            <w:rPr>
              <w:lang w:val="en-US"/>
            </w:rPr>
            <w:fldChar w:fldCharType="separate"/>
          </w:r>
          <w:r w:rsidR="009233AA">
            <w:rPr>
              <w:noProof/>
            </w:rPr>
            <w:t xml:space="preserve"> (4)</w:t>
          </w:r>
          <w:r>
            <w:rPr>
              <w:lang w:val="en-US"/>
            </w:rPr>
            <w:fldChar w:fldCharType="end"/>
          </w:r>
        </w:sdtContent>
      </w:sdt>
      <w:r w:rsidRPr="00F547EB">
        <w:rPr>
          <w:lang w:val="en-US"/>
        </w:rPr>
        <w:t>) and emergency contact numbers</w:t>
      </w:r>
      <w:r w:rsidR="00526868">
        <w:rPr>
          <w:lang w:val="en-US"/>
        </w:rPr>
        <w:t>.</w:t>
      </w:r>
      <w:r w:rsidRPr="00F547EB">
        <w:rPr>
          <w:lang w:val="en-US"/>
        </w:rPr>
        <w:t xml:space="preserve"> </w:t>
      </w:r>
    </w:p>
    <w:p w14:paraId="7063C512" w14:textId="2946A07B" w:rsidR="00F547EB" w:rsidRPr="00F547EB" w:rsidRDefault="00F547EB" w:rsidP="008622E1">
      <w:pPr>
        <w:pStyle w:val="BulletLevel1"/>
        <w:rPr>
          <w:lang w:val="en-US"/>
        </w:rPr>
      </w:pPr>
      <w:r w:rsidRPr="00F547EB">
        <w:rPr>
          <w:lang w:val="en-US"/>
        </w:rPr>
        <w:t xml:space="preserve">Provide sharps bin and advise re disposal </w:t>
      </w:r>
      <w:r w:rsidR="004143FF">
        <w:rPr>
          <w:lang w:val="en-US"/>
        </w:rPr>
        <w:br/>
      </w:r>
      <w:r w:rsidRPr="00F547EB">
        <w:rPr>
          <w:lang w:val="en-US"/>
        </w:rPr>
        <w:t xml:space="preserve">(bring back to clinic or local pharmacy with </w:t>
      </w:r>
      <w:r w:rsidR="00E63681" w:rsidRPr="00F547EB">
        <w:rPr>
          <w:lang w:val="en-US"/>
        </w:rPr>
        <w:t>agreement)</w:t>
      </w:r>
      <w:r w:rsidRPr="00F547EB">
        <w:rPr>
          <w:lang w:val="en-US"/>
        </w:rPr>
        <w:t xml:space="preserve">  </w:t>
      </w:r>
    </w:p>
    <w:p w14:paraId="3E8C4850" w14:textId="5CD732A2" w:rsidR="00F547EB" w:rsidRPr="00F547EB" w:rsidRDefault="00F547EB" w:rsidP="008622E1">
      <w:pPr>
        <w:pStyle w:val="BulletLevel1"/>
        <w:rPr>
          <w:lang w:val="en-US"/>
        </w:rPr>
      </w:pPr>
      <w:r w:rsidRPr="00F547EB">
        <w:rPr>
          <w:lang w:val="en-US"/>
        </w:rPr>
        <w:t>Complete General Practitioner (GP) e-discharge letter</w:t>
      </w:r>
      <w:r w:rsidR="00526868">
        <w:rPr>
          <w:lang w:val="en-US"/>
        </w:rPr>
        <w:t>.</w:t>
      </w:r>
      <w:r w:rsidRPr="00F547EB">
        <w:rPr>
          <w:lang w:val="en-US"/>
        </w:rPr>
        <w:t xml:space="preserve"> </w:t>
      </w:r>
    </w:p>
    <w:p w14:paraId="26BEF9CF" w14:textId="46BE5195" w:rsidR="00F547EB" w:rsidRPr="00F547EB" w:rsidRDefault="00F547EB" w:rsidP="008622E1">
      <w:pPr>
        <w:pStyle w:val="BulletLevel1"/>
        <w:rPr>
          <w:lang w:val="en-US"/>
        </w:rPr>
      </w:pPr>
      <w:r w:rsidRPr="00F547EB">
        <w:rPr>
          <w:lang w:val="en-US"/>
        </w:rPr>
        <w:t xml:space="preserve">Confirm follow up appointment with fracture </w:t>
      </w:r>
      <w:proofErr w:type="gramStart"/>
      <w:r w:rsidRPr="00F547EB">
        <w:rPr>
          <w:lang w:val="en-US"/>
        </w:rPr>
        <w:t xml:space="preserve">clinic </w:t>
      </w:r>
      <w:r w:rsidR="00526868">
        <w:rPr>
          <w:lang w:val="en-US"/>
        </w:rPr>
        <w:t>.</w:t>
      </w:r>
      <w:proofErr w:type="gramEnd"/>
    </w:p>
    <w:p w14:paraId="07823E63" w14:textId="6CDAA218" w:rsidR="00F547EB" w:rsidRPr="00F547EB" w:rsidRDefault="00F547EB" w:rsidP="008622E1">
      <w:pPr>
        <w:pStyle w:val="BulletLevel1"/>
        <w:rPr>
          <w:lang w:val="en-US"/>
        </w:rPr>
      </w:pPr>
      <w:r w:rsidRPr="00F547EB">
        <w:rPr>
          <w:lang w:val="en-US"/>
        </w:rPr>
        <w:t>If patient cannot self-administer, refer for district nurse input (</w:t>
      </w:r>
      <w:r>
        <w:rPr>
          <w:lang w:val="en-US"/>
        </w:rPr>
        <w:t>4</w:t>
      </w:r>
      <w:r w:rsidRPr="00F547EB">
        <w:rPr>
          <w:lang w:val="en-US"/>
        </w:rPr>
        <w:t>.7)</w:t>
      </w:r>
    </w:p>
    <w:p w14:paraId="2AA01AAE" w14:textId="06D7F779" w:rsidR="00F547EB" w:rsidRPr="00F547EB" w:rsidRDefault="00F547EB" w:rsidP="008622E1">
      <w:pPr>
        <w:pStyle w:val="BulletLevel1"/>
        <w:rPr>
          <w:lang w:val="en-US"/>
        </w:rPr>
      </w:pPr>
      <w:r w:rsidRPr="00F547EB">
        <w:rPr>
          <w:lang w:val="en-US"/>
        </w:rPr>
        <w:t>Monitor blood as below (</w:t>
      </w:r>
      <w:r>
        <w:rPr>
          <w:lang w:val="en-US"/>
        </w:rPr>
        <w:t>4</w:t>
      </w:r>
      <w:r w:rsidRPr="00F547EB">
        <w:rPr>
          <w:lang w:val="en-US"/>
        </w:rPr>
        <w:t>.6.3)</w:t>
      </w:r>
    </w:p>
    <w:p w14:paraId="6331DA19" w14:textId="77777777" w:rsidR="002E006F" w:rsidRPr="002E006F" w:rsidRDefault="002E006F" w:rsidP="002E006F">
      <w:pPr>
        <w:rPr>
          <w:lang w:val="en-US"/>
        </w:rPr>
      </w:pPr>
    </w:p>
    <w:p w14:paraId="7A07E481" w14:textId="77777777" w:rsidR="00F547EB" w:rsidRDefault="00F547EB">
      <w:pPr>
        <w:rPr>
          <w:b/>
          <w:lang w:val="en-US"/>
        </w:rPr>
      </w:pPr>
      <w:bookmarkStart w:id="41" w:name="_Toc535239223"/>
      <w:bookmarkStart w:id="42" w:name="_Toc8738280"/>
      <w:r>
        <w:rPr>
          <w:lang w:val="en-US"/>
        </w:rPr>
        <w:br w:type="page"/>
      </w:r>
    </w:p>
    <w:p w14:paraId="4041AA5A" w14:textId="5C3BB7D2" w:rsidR="002E006F" w:rsidRPr="002E006F" w:rsidRDefault="002E006F" w:rsidP="002E006F">
      <w:pPr>
        <w:pStyle w:val="Heading3"/>
        <w:rPr>
          <w:lang w:val="en-US"/>
        </w:rPr>
      </w:pPr>
      <w:bookmarkStart w:id="43" w:name="_Toc184025131"/>
      <w:r w:rsidRPr="002E006F">
        <w:rPr>
          <w:lang w:val="en-US"/>
        </w:rPr>
        <w:lastRenderedPageBreak/>
        <w:t>Contraindications to pharmacological prophylaxis</w:t>
      </w:r>
      <w:bookmarkEnd w:id="41"/>
      <w:bookmarkEnd w:id="42"/>
      <w:bookmarkEnd w:id="43"/>
    </w:p>
    <w:p w14:paraId="32310727" w14:textId="77777777" w:rsidR="002E006F" w:rsidRPr="002E006F" w:rsidRDefault="002E006F" w:rsidP="002E006F">
      <w:pPr>
        <w:rPr>
          <w:lang w:val="en-US"/>
        </w:rPr>
      </w:pPr>
    </w:p>
    <w:p w14:paraId="6A02C919" w14:textId="53BACF55" w:rsidR="00E63681" w:rsidRPr="00E63681" w:rsidRDefault="00E63681" w:rsidP="00E63681">
      <w:pPr>
        <w:rPr>
          <w:lang w:val="en-US"/>
        </w:rPr>
      </w:pPr>
      <w:r w:rsidRPr="00E63681">
        <w:rPr>
          <w:lang w:val="en-US"/>
        </w:rPr>
        <w:t>Some contraindications below apply to any form of anticoagulant treatment although others may be specific to LMWH.  If this is contraindicated and pharmacological management is considered necessary, contact haematology for advice.</w:t>
      </w:r>
    </w:p>
    <w:p w14:paraId="08E4FECF" w14:textId="77777777" w:rsidR="002E006F" w:rsidRPr="002E006F" w:rsidRDefault="002E006F" w:rsidP="002E006F">
      <w:pPr>
        <w:rPr>
          <w:lang w:val="en-US"/>
        </w:rPr>
      </w:pPr>
    </w:p>
    <w:p w14:paraId="7BE8B299" w14:textId="77777777" w:rsidR="00E63681" w:rsidRPr="00E63681" w:rsidRDefault="00E63681" w:rsidP="008622E1">
      <w:pPr>
        <w:pStyle w:val="BulletLevel1"/>
        <w:rPr>
          <w:lang w:val="en-US"/>
        </w:rPr>
      </w:pPr>
      <w:r w:rsidRPr="00E63681">
        <w:rPr>
          <w:lang w:val="en-US"/>
        </w:rPr>
        <w:t xml:space="preserve">Acute haemorrhage </w:t>
      </w:r>
    </w:p>
    <w:p w14:paraId="29188DE5" w14:textId="77777777" w:rsidR="00E63681" w:rsidRPr="00E63681" w:rsidRDefault="00E63681" w:rsidP="008622E1">
      <w:pPr>
        <w:pStyle w:val="BulletLevel1"/>
        <w:rPr>
          <w:lang w:val="en-US"/>
        </w:rPr>
      </w:pPr>
      <w:r w:rsidRPr="00E63681">
        <w:rPr>
          <w:lang w:val="en-US"/>
        </w:rPr>
        <w:t>Acquired bleeding disorders (including acute liver failure)</w:t>
      </w:r>
    </w:p>
    <w:p w14:paraId="2E085CD7" w14:textId="77777777" w:rsidR="00E63681" w:rsidRPr="00E63681" w:rsidRDefault="00E63681" w:rsidP="008622E1">
      <w:pPr>
        <w:pStyle w:val="BulletLevel1"/>
        <w:rPr>
          <w:lang w:val="en-US"/>
        </w:rPr>
      </w:pPr>
      <w:r w:rsidRPr="00E63681">
        <w:rPr>
          <w:lang w:val="en-US"/>
        </w:rPr>
        <w:t>Concurrent use of therapeutic anticoagulants (such as warfarin with a therapeutic International Normalised Ratio (INR) or a Direct Oral Anticoagulant (DOAC))</w:t>
      </w:r>
    </w:p>
    <w:p w14:paraId="11DE64FF" w14:textId="77777777" w:rsidR="00E63681" w:rsidRPr="00E63681" w:rsidRDefault="00E63681" w:rsidP="008622E1">
      <w:pPr>
        <w:pStyle w:val="BulletLevel1"/>
        <w:rPr>
          <w:lang w:val="en-US"/>
        </w:rPr>
      </w:pPr>
      <w:r w:rsidRPr="00E63681">
        <w:rPr>
          <w:lang w:val="en-US"/>
        </w:rPr>
        <w:t>Lumbar puncture / epidural / spinal anaesthesia within the previous 4 hours or expected within the next 12 hours</w:t>
      </w:r>
    </w:p>
    <w:p w14:paraId="1BD549A7" w14:textId="77777777" w:rsidR="00E63681" w:rsidRPr="00E63681" w:rsidRDefault="00E63681" w:rsidP="008622E1">
      <w:pPr>
        <w:pStyle w:val="BulletLevel1"/>
        <w:rPr>
          <w:lang w:val="en-US"/>
        </w:rPr>
      </w:pPr>
      <w:r w:rsidRPr="00E63681">
        <w:rPr>
          <w:lang w:val="en-US"/>
        </w:rPr>
        <w:t>Acute stroke – consult with the treating physician</w:t>
      </w:r>
    </w:p>
    <w:p w14:paraId="60775C4A" w14:textId="77777777" w:rsidR="00E63681" w:rsidRPr="00E63681" w:rsidRDefault="00E63681" w:rsidP="008622E1">
      <w:pPr>
        <w:pStyle w:val="BulletLevel1"/>
        <w:rPr>
          <w:lang w:val="en-US"/>
        </w:rPr>
      </w:pPr>
      <w:r w:rsidRPr="00E63681">
        <w:rPr>
          <w:lang w:val="en-US"/>
        </w:rPr>
        <w:t>Thrombocytopenia (platelets &lt; 75 x 10</w:t>
      </w:r>
      <w:r w:rsidRPr="00E63681">
        <w:rPr>
          <w:vertAlign w:val="superscript"/>
          <w:lang w:val="en-US"/>
        </w:rPr>
        <w:t>9</w:t>
      </w:r>
      <w:r w:rsidRPr="00E63681">
        <w:rPr>
          <w:lang w:val="en-US"/>
        </w:rPr>
        <w:t>/L) or likely to become thrombocytopenic within 7 days</w:t>
      </w:r>
    </w:p>
    <w:p w14:paraId="5E1C6DCE" w14:textId="77777777" w:rsidR="00E63681" w:rsidRPr="00E63681" w:rsidRDefault="00E63681" w:rsidP="008622E1">
      <w:pPr>
        <w:pStyle w:val="BulletLevel1"/>
        <w:rPr>
          <w:lang w:val="en-US"/>
        </w:rPr>
      </w:pPr>
      <w:r w:rsidRPr="00E63681">
        <w:rPr>
          <w:lang w:val="en-US"/>
        </w:rPr>
        <w:t>Uncontrolled hypertension (≥ 230/120 mmHg)</w:t>
      </w:r>
    </w:p>
    <w:p w14:paraId="03AD5966" w14:textId="77777777" w:rsidR="00E63681" w:rsidRPr="00E63681" w:rsidRDefault="00E63681" w:rsidP="008622E1">
      <w:pPr>
        <w:pStyle w:val="BulletLevel1"/>
        <w:rPr>
          <w:lang w:val="en-US"/>
        </w:rPr>
      </w:pPr>
      <w:r w:rsidRPr="00E63681">
        <w:rPr>
          <w:lang w:val="en-US"/>
        </w:rPr>
        <w:t>Untreated inherited bleeding disorders (such as haemophilia or von Willebrand's disease)</w:t>
      </w:r>
    </w:p>
    <w:p w14:paraId="2C4B3E33" w14:textId="77777777" w:rsidR="00E63681" w:rsidRPr="00E63681" w:rsidRDefault="00E63681" w:rsidP="008622E1">
      <w:pPr>
        <w:pStyle w:val="BulletLevel1"/>
        <w:rPr>
          <w:lang w:val="en-US"/>
        </w:rPr>
      </w:pPr>
      <w:r w:rsidRPr="00E63681">
        <w:rPr>
          <w:lang w:val="en-US"/>
        </w:rPr>
        <w:t>Known hypersensitivity to low molecular weight heparin or product constituents</w:t>
      </w:r>
    </w:p>
    <w:p w14:paraId="5D9E0171" w14:textId="77777777" w:rsidR="00E63681" w:rsidRPr="00E63681" w:rsidRDefault="00E63681" w:rsidP="008622E1">
      <w:pPr>
        <w:pStyle w:val="BulletLevel1"/>
        <w:rPr>
          <w:lang w:val="en-US"/>
        </w:rPr>
      </w:pPr>
      <w:r w:rsidRPr="00E63681">
        <w:rPr>
          <w:lang w:val="en-US"/>
        </w:rPr>
        <w:t>Acute gastroduodenal ulcer</w:t>
      </w:r>
    </w:p>
    <w:p w14:paraId="11AA40DE" w14:textId="77777777" w:rsidR="00E63681" w:rsidRPr="00E63681" w:rsidRDefault="00E63681" w:rsidP="008622E1">
      <w:pPr>
        <w:pStyle w:val="BulletLevel1"/>
        <w:rPr>
          <w:lang w:val="en-US"/>
        </w:rPr>
      </w:pPr>
      <w:r w:rsidRPr="00E63681">
        <w:rPr>
          <w:lang w:val="en-US"/>
        </w:rPr>
        <w:t>Injuries to/or operation on central nervous system, eyes or ears</w:t>
      </w:r>
    </w:p>
    <w:p w14:paraId="1098CB37" w14:textId="77777777" w:rsidR="002E006F" w:rsidRPr="002E006F" w:rsidRDefault="002E006F" w:rsidP="002E006F">
      <w:pPr>
        <w:rPr>
          <w:lang w:val="en-US"/>
        </w:rPr>
      </w:pPr>
    </w:p>
    <w:p w14:paraId="524BF621" w14:textId="3514A852" w:rsidR="006B38F8" w:rsidRDefault="00E63681" w:rsidP="00E63681">
      <w:pPr>
        <w:rPr>
          <w:lang w:val="en-US"/>
        </w:rPr>
      </w:pPr>
      <w:r w:rsidRPr="00E63681">
        <w:rPr>
          <w:lang w:val="en-US"/>
        </w:rPr>
        <w:t>Patients taking anti platelets or other interacting drugs may not be suitable for pharmacological prophylaxis – the risk of thrombosis needs to be considered against the risk of bleeding in each case.</w:t>
      </w:r>
    </w:p>
    <w:p w14:paraId="748A2A47" w14:textId="77777777" w:rsidR="006B38F8" w:rsidRDefault="006B38F8">
      <w:pPr>
        <w:rPr>
          <w:lang w:val="en-US"/>
        </w:rPr>
      </w:pPr>
      <w:r>
        <w:rPr>
          <w:lang w:val="en-US"/>
        </w:rPr>
        <w:br w:type="page"/>
      </w:r>
    </w:p>
    <w:p w14:paraId="1D66FD98" w14:textId="0FBFE063" w:rsidR="002E006F" w:rsidRDefault="002E006F" w:rsidP="00886C27">
      <w:pPr>
        <w:pStyle w:val="Heading2"/>
        <w:rPr>
          <w:lang w:val="en-US"/>
        </w:rPr>
      </w:pPr>
      <w:bookmarkStart w:id="44" w:name="_Toc535239224"/>
      <w:bookmarkStart w:id="45" w:name="_Toc8738281"/>
      <w:bookmarkStart w:id="46" w:name="_Toc184025132"/>
      <w:r w:rsidRPr="006527AF">
        <w:rPr>
          <w:lang w:val="en-US"/>
        </w:rPr>
        <w:lastRenderedPageBreak/>
        <w:t xml:space="preserve">Dosing of </w:t>
      </w:r>
      <w:bookmarkEnd w:id="44"/>
      <w:bookmarkEnd w:id="45"/>
      <w:r w:rsidR="006527AF">
        <w:rPr>
          <w:lang w:val="en-US"/>
        </w:rPr>
        <w:t>Enoxaparin</w:t>
      </w:r>
      <w:bookmarkEnd w:id="46"/>
    </w:p>
    <w:p w14:paraId="32640FBD" w14:textId="77777777" w:rsidR="006527AF" w:rsidRPr="006527AF" w:rsidRDefault="006527AF" w:rsidP="006527AF">
      <w:pPr>
        <w:rPr>
          <w:lang w:val="en-US"/>
        </w:rPr>
      </w:pPr>
    </w:p>
    <w:tbl>
      <w:tblPr>
        <w:tblStyle w:val="TableGrid"/>
        <w:tblW w:w="8926" w:type="dxa"/>
        <w:tblLayout w:type="fixed"/>
        <w:tblLook w:val="0000" w:firstRow="0" w:lastRow="0" w:firstColumn="0" w:lastColumn="0" w:noHBand="0" w:noVBand="0"/>
      </w:tblPr>
      <w:tblGrid>
        <w:gridCol w:w="2405"/>
        <w:gridCol w:w="1843"/>
        <w:gridCol w:w="4678"/>
      </w:tblGrid>
      <w:tr w:rsidR="003F3A87" w14:paraId="6978BD09" w14:textId="77777777" w:rsidTr="00526868">
        <w:trPr>
          <w:trHeight w:val="482"/>
        </w:trPr>
        <w:tc>
          <w:tcPr>
            <w:tcW w:w="8926" w:type="dxa"/>
            <w:gridSpan w:val="3"/>
            <w:vAlign w:val="center"/>
          </w:tcPr>
          <w:p w14:paraId="150F5541" w14:textId="22231A5D" w:rsidR="003F3A87" w:rsidRPr="00526868" w:rsidRDefault="003F3A87" w:rsidP="00526868">
            <w:pPr>
              <w:pStyle w:val="Default"/>
              <w:jc w:val="center"/>
              <w:rPr>
                <w:rFonts w:ascii="Arial" w:hAnsi="Arial" w:cs="Arial"/>
              </w:rPr>
            </w:pPr>
            <w:r w:rsidRPr="00526868">
              <w:rPr>
                <w:rFonts w:ascii="Arial" w:hAnsi="Arial" w:cs="Arial"/>
                <w:b/>
                <w:bCs/>
              </w:rPr>
              <w:t>Check body weight, renal function and contraindications/bleeding risk factors before prescribing</w:t>
            </w:r>
          </w:p>
          <w:p w14:paraId="0F8B2E37" w14:textId="37B71D94" w:rsidR="003F3A87" w:rsidRPr="00526868" w:rsidRDefault="003F3A87" w:rsidP="00526868">
            <w:pPr>
              <w:pStyle w:val="Default"/>
              <w:jc w:val="center"/>
              <w:rPr>
                <w:rFonts w:ascii="Arial" w:hAnsi="Arial" w:cs="Arial"/>
              </w:rPr>
            </w:pPr>
            <w:r w:rsidRPr="00526868">
              <w:rPr>
                <w:rFonts w:ascii="Arial" w:hAnsi="Arial" w:cs="Arial"/>
              </w:rPr>
              <w:t>Doses marked with * are off license but in line with national evidence-based practice.</w:t>
            </w:r>
          </w:p>
        </w:tc>
      </w:tr>
      <w:tr w:rsidR="006B38F8" w14:paraId="64168B4A" w14:textId="77777777" w:rsidTr="00526868">
        <w:trPr>
          <w:trHeight w:val="253"/>
        </w:trPr>
        <w:tc>
          <w:tcPr>
            <w:tcW w:w="2405" w:type="dxa"/>
            <w:vAlign w:val="center"/>
          </w:tcPr>
          <w:p w14:paraId="5F0DB93A" w14:textId="77777777" w:rsidR="006B38F8" w:rsidRPr="00526868" w:rsidRDefault="006B38F8" w:rsidP="00526868">
            <w:pPr>
              <w:pStyle w:val="Default"/>
              <w:jc w:val="center"/>
              <w:rPr>
                <w:rFonts w:ascii="Arial" w:hAnsi="Arial" w:cs="Arial"/>
                <w:b/>
                <w:bCs/>
              </w:rPr>
            </w:pPr>
            <w:r w:rsidRPr="00526868">
              <w:rPr>
                <w:rFonts w:ascii="Arial" w:hAnsi="Arial" w:cs="Arial"/>
                <w:b/>
                <w:bCs/>
              </w:rPr>
              <w:t>Renal Function</w:t>
            </w:r>
          </w:p>
          <w:p w14:paraId="53BBA23C" w14:textId="3D7072F0" w:rsidR="006B38F8" w:rsidRPr="00526868" w:rsidRDefault="006B38F8" w:rsidP="00526868">
            <w:pPr>
              <w:pStyle w:val="Default"/>
              <w:jc w:val="center"/>
              <w:rPr>
                <w:rFonts w:ascii="Arial" w:hAnsi="Arial" w:cs="Arial"/>
                <w:b/>
                <w:bCs/>
                <w:sz w:val="16"/>
                <w:szCs w:val="16"/>
              </w:rPr>
            </w:pPr>
            <w:r w:rsidRPr="00526868">
              <w:rPr>
                <w:rFonts w:ascii="Arial" w:hAnsi="Arial" w:cs="Arial"/>
                <w:b/>
                <w:bCs/>
                <w:sz w:val="16"/>
                <w:szCs w:val="16"/>
              </w:rPr>
              <w:t>(CrCl: Creatinine clearance)</w:t>
            </w:r>
          </w:p>
        </w:tc>
        <w:tc>
          <w:tcPr>
            <w:tcW w:w="1843" w:type="dxa"/>
            <w:vAlign w:val="center"/>
          </w:tcPr>
          <w:p w14:paraId="300C84DF" w14:textId="06F68EA9" w:rsidR="006B38F8" w:rsidRPr="00526868" w:rsidRDefault="006B38F8" w:rsidP="00526868">
            <w:pPr>
              <w:pStyle w:val="Default"/>
              <w:jc w:val="center"/>
              <w:rPr>
                <w:rFonts w:ascii="Arial" w:hAnsi="Arial" w:cs="Arial"/>
                <w:b/>
                <w:bCs/>
              </w:rPr>
            </w:pPr>
            <w:r w:rsidRPr="00526868">
              <w:rPr>
                <w:rFonts w:ascii="Arial" w:hAnsi="Arial" w:cs="Arial"/>
                <w:b/>
                <w:bCs/>
              </w:rPr>
              <w:t>Body weight</w:t>
            </w:r>
          </w:p>
          <w:p w14:paraId="1A75334C" w14:textId="6B5219C1" w:rsidR="006B38F8" w:rsidRPr="00526868" w:rsidRDefault="006B38F8" w:rsidP="00526868">
            <w:pPr>
              <w:pStyle w:val="Default"/>
              <w:jc w:val="center"/>
              <w:rPr>
                <w:rFonts w:ascii="Arial" w:hAnsi="Arial" w:cs="Arial"/>
                <w:b/>
                <w:bCs/>
              </w:rPr>
            </w:pPr>
            <w:r w:rsidRPr="00526868">
              <w:rPr>
                <w:rFonts w:ascii="Arial" w:hAnsi="Arial" w:cs="Arial"/>
                <w:b/>
                <w:bCs/>
              </w:rPr>
              <w:t>(kg)</w:t>
            </w:r>
          </w:p>
        </w:tc>
        <w:tc>
          <w:tcPr>
            <w:tcW w:w="4678" w:type="dxa"/>
            <w:vAlign w:val="center"/>
          </w:tcPr>
          <w:p w14:paraId="169A4462" w14:textId="3D3A5DAF" w:rsidR="006B38F8" w:rsidRPr="00526868" w:rsidRDefault="00526868" w:rsidP="00526868">
            <w:pPr>
              <w:pStyle w:val="Default"/>
              <w:jc w:val="center"/>
              <w:rPr>
                <w:rFonts w:ascii="Arial" w:hAnsi="Arial" w:cs="Arial"/>
                <w:b/>
                <w:bCs/>
              </w:rPr>
            </w:pPr>
            <w:r w:rsidRPr="00526868">
              <w:rPr>
                <w:rFonts w:ascii="Arial" w:hAnsi="Arial" w:cs="Arial"/>
                <w:b/>
                <w:bCs/>
              </w:rPr>
              <w:t>Enoxaparin</w:t>
            </w:r>
            <w:r w:rsidR="006B38F8" w:rsidRPr="00526868">
              <w:rPr>
                <w:rFonts w:ascii="Arial" w:hAnsi="Arial" w:cs="Arial"/>
                <w:b/>
                <w:bCs/>
              </w:rPr>
              <w:t xml:space="preserve"> Dose</w:t>
            </w:r>
          </w:p>
          <w:p w14:paraId="373E1774" w14:textId="38023C8D" w:rsidR="006B38F8" w:rsidRPr="00526868" w:rsidRDefault="00526868" w:rsidP="00526868">
            <w:pPr>
              <w:pStyle w:val="Default"/>
              <w:jc w:val="center"/>
              <w:rPr>
                <w:rFonts w:ascii="Arial" w:hAnsi="Arial" w:cs="Arial"/>
                <w:b/>
                <w:bCs/>
              </w:rPr>
            </w:pPr>
            <w:r w:rsidRPr="00526868">
              <w:rPr>
                <w:rFonts w:ascii="Arial" w:hAnsi="Arial" w:cs="Arial"/>
                <w:b/>
                <w:bCs/>
              </w:rPr>
              <w:t>v</w:t>
            </w:r>
            <w:r w:rsidR="006B38F8" w:rsidRPr="00526868">
              <w:rPr>
                <w:rFonts w:ascii="Arial" w:hAnsi="Arial" w:cs="Arial"/>
                <w:b/>
                <w:bCs/>
              </w:rPr>
              <w:t>ia subcutaneous injection</w:t>
            </w:r>
          </w:p>
        </w:tc>
      </w:tr>
      <w:tr w:rsidR="003F3A87" w14:paraId="4861510D" w14:textId="77777777" w:rsidTr="00526868">
        <w:trPr>
          <w:trHeight w:val="467"/>
        </w:trPr>
        <w:tc>
          <w:tcPr>
            <w:tcW w:w="2405" w:type="dxa"/>
            <w:vMerge w:val="restart"/>
            <w:vAlign w:val="center"/>
          </w:tcPr>
          <w:p w14:paraId="3DF3EA73" w14:textId="4058DAA6" w:rsidR="003F3A87" w:rsidRPr="00526868" w:rsidRDefault="003F3A87" w:rsidP="00526868">
            <w:pPr>
              <w:pStyle w:val="Default"/>
              <w:jc w:val="center"/>
              <w:rPr>
                <w:rFonts w:ascii="Arial" w:hAnsi="Arial" w:cs="Arial"/>
              </w:rPr>
            </w:pPr>
            <w:r w:rsidRPr="00526868">
              <w:rPr>
                <w:rFonts w:ascii="Arial" w:hAnsi="Arial" w:cs="Arial"/>
              </w:rPr>
              <w:t>CrCl ≥ 30 mL/min</w:t>
            </w:r>
          </w:p>
          <w:p w14:paraId="560C87CE" w14:textId="102004E5" w:rsidR="003F3A87" w:rsidRPr="00526868" w:rsidRDefault="003F3A87" w:rsidP="00526868">
            <w:pPr>
              <w:pStyle w:val="Default"/>
              <w:jc w:val="center"/>
              <w:rPr>
                <w:rFonts w:ascii="Arial" w:hAnsi="Arial" w:cs="Arial"/>
              </w:rPr>
            </w:pPr>
          </w:p>
        </w:tc>
        <w:tc>
          <w:tcPr>
            <w:tcW w:w="1843" w:type="dxa"/>
            <w:vAlign w:val="center"/>
          </w:tcPr>
          <w:p w14:paraId="6275E62D" w14:textId="604BC68A" w:rsidR="003F3A87" w:rsidRPr="00526868" w:rsidRDefault="003F3A87" w:rsidP="00526868">
            <w:pPr>
              <w:pStyle w:val="Default"/>
              <w:jc w:val="center"/>
              <w:rPr>
                <w:rFonts w:ascii="Arial" w:hAnsi="Arial" w:cs="Arial"/>
              </w:rPr>
            </w:pPr>
            <w:r w:rsidRPr="00526868">
              <w:rPr>
                <w:rFonts w:ascii="Arial" w:hAnsi="Arial" w:cs="Arial"/>
              </w:rPr>
              <w:t>≤ 45kg</w:t>
            </w:r>
          </w:p>
        </w:tc>
        <w:tc>
          <w:tcPr>
            <w:tcW w:w="4678" w:type="dxa"/>
            <w:vAlign w:val="center"/>
          </w:tcPr>
          <w:p w14:paraId="22F266DF" w14:textId="76F17110" w:rsidR="003F3A87" w:rsidRPr="00526868" w:rsidRDefault="003F3A87" w:rsidP="00526868">
            <w:pPr>
              <w:pStyle w:val="Default"/>
              <w:jc w:val="center"/>
              <w:rPr>
                <w:rFonts w:ascii="Arial" w:hAnsi="Arial" w:cs="Arial"/>
              </w:rPr>
            </w:pPr>
            <w:r w:rsidRPr="00526868">
              <w:rPr>
                <w:rFonts w:ascii="Arial" w:hAnsi="Arial" w:cs="Arial"/>
              </w:rPr>
              <w:t>20mg ONCE daily *</w:t>
            </w:r>
          </w:p>
        </w:tc>
      </w:tr>
      <w:tr w:rsidR="003F3A87" w14:paraId="7B54A4FD" w14:textId="77777777" w:rsidTr="00526868">
        <w:trPr>
          <w:trHeight w:val="559"/>
        </w:trPr>
        <w:tc>
          <w:tcPr>
            <w:tcW w:w="2405" w:type="dxa"/>
            <w:vMerge/>
            <w:vAlign w:val="center"/>
          </w:tcPr>
          <w:p w14:paraId="7FF3745A" w14:textId="77777777" w:rsidR="003F3A87" w:rsidRPr="00526868" w:rsidRDefault="003F3A87" w:rsidP="00526868">
            <w:pPr>
              <w:pStyle w:val="Default"/>
              <w:jc w:val="center"/>
              <w:rPr>
                <w:rFonts w:ascii="Arial" w:hAnsi="Arial" w:cs="Arial"/>
              </w:rPr>
            </w:pPr>
          </w:p>
        </w:tc>
        <w:tc>
          <w:tcPr>
            <w:tcW w:w="1843" w:type="dxa"/>
            <w:vAlign w:val="center"/>
          </w:tcPr>
          <w:p w14:paraId="4FFBF043" w14:textId="39C2C45A" w:rsidR="003F3A87" w:rsidRPr="00526868" w:rsidRDefault="003F3A87" w:rsidP="00526868">
            <w:pPr>
              <w:pStyle w:val="Default"/>
              <w:jc w:val="center"/>
              <w:rPr>
                <w:rFonts w:ascii="Arial" w:hAnsi="Arial" w:cs="Arial"/>
              </w:rPr>
            </w:pPr>
            <w:r w:rsidRPr="00526868">
              <w:rPr>
                <w:rFonts w:ascii="Arial" w:hAnsi="Arial" w:cs="Arial"/>
              </w:rPr>
              <w:t>46 – 100kg</w:t>
            </w:r>
          </w:p>
        </w:tc>
        <w:tc>
          <w:tcPr>
            <w:tcW w:w="4678" w:type="dxa"/>
            <w:vAlign w:val="center"/>
          </w:tcPr>
          <w:p w14:paraId="40759EAA" w14:textId="278B721E" w:rsidR="003F3A87" w:rsidRPr="00526868" w:rsidRDefault="003F3A87" w:rsidP="00526868">
            <w:pPr>
              <w:pStyle w:val="Default"/>
              <w:jc w:val="center"/>
              <w:rPr>
                <w:rFonts w:ascii="Arial" w:hAnsi="Arial" w:cs="Arial"/>
              </w:rPr>
            </w:pPr>
            <w:r w:rsidRPr="00526868">
              <w:rPr>
                <w:rFonts w:ascii="Arial" w:hAnsi="Arial" w:cs="Arial"/>
              </w:rPr>
              <w:t>40mg ONCE daily</w:t>
            </w:r>
          </w:p>
        </w:tc>
      </w:tr>
      <w:tr w:rsidR="003F3A87" w14:paraId="09F81BC7" w14:textId="77777777" w:rsidTr="00526868">
        <w:trPr>
          <w:trHeight w:val="425"/>
        </w:trPr>
        <w:tc>
          <w:tcPr>
            <w:tcW w:w="2405" w:type="dxa"/>
            <w:vMerge/>
            <w:vAlign w:val="center"/>
          </w:tcPr>
          <w:p w14:paraId="212007F5" w14:textId="77777777" w:rsidR="003F3A87" w:rsidRPr="00526868" w:rsidRDefault="003F3A87" w:rsidP="00526868">
            <w:pPr>
              <w:pStyle w:val="Default"/>
              <w:jc w:val="center"/>
              <w:rPr>
                <w:rFonts w:ascii="Arial" w:hAnsi="Arial" w:cs="Arial"/>
              </w:rPr>
            </w:pPr>
          </w:p>
        </w:tc>
        <w:tc>
          <w:tcPr>
            <w:tcW w:w="1843" w:type="dxa"/>
            <w:vAlign w:val="center"/>
          </w:tcPr>
          <w:p w14:paraId="33870E0B" w14:textId="39C3A1B9" w:rsidR="003F3A87" w:rsidRPr="00526868" w:rsidRDefault="003F3A87" w:rsidP="00526868">
            <w:pPr>
              <w:pStyle w:val="Default"/>
              <w:jc w:val="center"/>
              <w:rPr>
                <w:rFonts w:ascii="Arial" w:hAnsi="Arial" w:cs="Arial"/>
              </w:rPr>
            </w:pPr>
            <w:r w:rsidRPr="00526868">
              <w:rPr>
                <w:rFonts w:ascii="Arial" w:hAnsi="Arial" w:cs="Arial"/>
              </w:rPr>
              <w:t>101 – 150kg</w:t>
            </w:r>
          </w:p>
        </w:tc>
        <w:tc>
          <w:tcPr>
            <w:tcW w:w="4678" w:type="dxa"/>
            <w:vAlign w:val="center"/>
          </w:tcPr>
          <w:p w14:paraId="38E37B25" w14:textId="2BA5B3C1" w:rsidR="003F3A87" w:rsidRPr="00526868" w:rsidRDefault="003F3A87" w:rsidP="00526868">
            <w:pPr>
              <w:pStyle w:val="Default"/>
              <w:jc w:val="center"/>
              <w:rPr>
                <w:rFonts w:ascii="Arial" w:hAnsi="Arial" w:cs="Arial"/>
              </w:rPr>
            </w:pPr>
            <w:r w:rsidRPr="00526868">
              <w:rPr>
                <w:rFonts w:ascii="Arial" w:hAnsi="Arial" w:cs="Arial"/>
              </w:rPr>
              <w:t>40mg TWICE daily *</w:t>
            </w:r>
          </w:p>
        </w:tc>
      </w:tr>
      <w:tr w:rsidR="003F3A87" w14:paraId="39053549" w14:textId="77777777" w:rsidTr="00526868">
        <w:trPr>
          <w:trHeight w:val="417"/>
        </w:trPr>
        <w:tc>
          <w:tcPr>
            <w:tcW w:w="2405" w:type="dxa"/>
            <w:vMerge/>
            <w:vAlign w:val="center"/>
          </w:tcPr>
          <w:p w14:paraId="3319561B" w14:textId="77777777" w:rsidR="003F3A87" w:rsidRPr="00526868" w:rsidRDefault="003F3A87" w:rsidP="00526868">
            <w:pPr>
              <w:pStyle w:val="Default"/>
              <w:jc w:val="center"/>
              <w:rPr>
                <w:rFonts w:ascii="Arial" w:hAnsi="Arial" w:cs="Arial"/>
              </w:rPr>
            </w:pPr>
          </w:p>
        </w:tc>
        <w:tc>
          <w:tcPr>
            <w:tcW w:w="1843" w:type="dxa"/>
            <w:vAlign w:val="center"/>
          </w:tcPr>
          <w:p w14:paraId="2EBCF1AE" w14:textId="64DDFBFF" w:rsidR="003F3A87" w:rsidRPr="00526868" w:rsidRDefault="003F3A87" w:rsidP="00526868">
            <w:pPr>
              <w:pStyle w:val="Default"/>
              <w:jc w:val="center"/>
              <w:rPr>
                <w:rFonts w:ascii="Arial" w:hAnsi="Arial" w:cs="Arial"/>
              </w:rPr>
            </w:pPr>
            <w:r w:rsidRPr="00526868">
              <w:rPr>
                <w:rFonts w:ascii="Arial" w:hAnsi="Arial" w:cs="Arial"/>
              </w:rPr>
              <w:t>&gt;150 kg</w:t>
            </w:r>
          </w:p>
        </w:tc>
        <w:tc>
          <w:tcPr>
            <w:tcW w:w="4678" w:type="dxa"/>
            <w:vAlign w:val="center"/>
          </w:tcPr>
          <w:p w14:paraId="6DCEFE78" w14:textId="0EEDB833" w:rsidR="003F3A87" w:rsidRPr="00526868" w:rsidRDefault="003F3A87" w:rsidP="00526868">
            <w:pPr>
              <w:pStyle w:val="Default"/>
              <w:jc w:val="center"/>
              <w:rPr>
                <w:rFonts w:ascii="Arial" w:hAnsi="Arial" w:cs="Arial"/>
              </w:rPr>
            </w:pPr>
            <w:r w:rsidRPr="00526868">
              <w:rPr>
                <w:rFonts w:ascii="Arial" w:hAnsi="Arial" w:cs="Arial"/>
              </w:rPr>
              <w:t>60mg TWICE daily *</w:t>
            </w:r>
          </w:p>
        </w:tc>
      </w:tr>
      <w:tr w:rsidR="003F3A87" w14:paraId="37AB9BA0" w14:textId="77777777" w:rsidTr="00526868">
        <w:trPr>
          <w:trHeight w:val="409"/>
        </w:trPr>
        <w:tc>
          <w:tcPr>
            <w:tcW w:w="2405" w:type="dxa"/>
            <w:vMerge w:val="restart"/>
            <w:vAlign w:val="center"/>
          </w:tcPr>
          <w:p w14:paraId="6D9B60A4" w14:textId="03F53401" w:rsidR="003F3A87" w:rsidRPr="00526868" w:rsidRDefault="003F3A87" w:rsidP="00526868">
            <w:pPr>
              <w:pStyle w:val="Default"/>
              <w:jc w:val="center"/>
              <w:rPr>
                <w:rFonts w:ascii="Arial" w:hAnsi="Arial" w:cs="Arial"/>
              </w:rPr>
            </w:pPr>
            <w:r w:rsidRPr="00526868">
              <w:rPr>
                <w:rFonts w:ascii="Arial" w:hAnsi="Arial" w:cs="Arial"/>
              </w:rPr>
              <w:t>CrCl &lt;30 mL/min</w:t>
            </w:r>
          </w:p>
        </w:tc>
        <w:tc>
          <w:tcPr>
            <w:tcW w:w="1843" w:type="dxa"/>
            <w:vAlign w:val="center"/>
          </w:tcPr>
          <w:p w14:paraId="3C45B1D0" w14:textId="6E0915EF" w:rsidR="003F3A87" w:rsidRPr="00526868" w:rsidRDefault="003F3A87" w:rsidP="00526868">
            <w:pPr>
              <w:pStyle w:val="Default"/>
              <w:jc w:val="center"/>
              <w:rPr>
                <w:rFonts w:ascii="Arial" w:hAnsi="Arial" w:cs="Arial"/>
              </w:rPr>
            </w:pPr>
            <w:r w:rsidRPr="00526868">
              <w:rPr>
                <w:rFonts w:ascii="Arial" w:hAnsi="Arial" w:cs="Arial"/>
              </w:rPr>
              <w:t>≤ 45kg</w:t>
            </w:r>
          </w:p>
        </w:tc>
        <w:tc>
          <w:tcPr>
            <w:tcW w:w="4678" w:type="dxa"/>
            <w:vAlign w:val="center"/>
          </w:tcPr>
          <w:p w14:paraId="330A92B9" w14:textId="50C04223" w:rsidR="003F3A87" w:rsidRPr="00526868" w:rsidRDefault="003F3A87" w:rsidP="00526868">
            <w:pPr>
              <w:pStyle w:val="Default"/>
              <w:jc w:val="center"/>
              <w:rPr>
                <w:rFonts w:ascii="Arial" w:hAnsi="Arial" w:cs="Arial"/>
              </w:rPr>
            </w:pPr>
            <w:r w:rsidRPr="00526868">
              <w:rPr>
                <w:rFonts w:ascii="Arial" w:hAnsi="Arial" w:cs="Arial"/>
              </w:rPr>
              <w:t>20mg ONCE daily</w:t>
            </w:r>
          </w:p>
        </w:tc>
      </w:tr>
      <w:tr w:rsidR="003F3A87" w14:paraId="4172B8FB" w14:textId="77777777" w:rsidTr="00526868">
        <w:trPr>
          <w:trHeight w:val="416"/>
        </w:trPr>
        <w:tc>
          <w:tcPr>
            <w:tcW w:w="2405" w:type="dxa"/>
            <w:vMerge/>
            <w:vAlign w:val="center"/>
          </w:tcPr>
          <w:p w14:paraId="6E7C28AE" w14:textId="77777777" w:rsidR="003F3A87" w:rsidRPr="00526868" w:rsidRDefault="003F3A87" w:rsidP="00526868">
            <w:pPr>
              <w:pStyle w:val="Default"/>
              <w:jc w:val="center"/>
              <w:rPr>
                <w:rFonts w:ascii="Arial" w:hAnsi="Arial" w:cs="Arial"/>
              </w:rPr>
            </w:pPr>
          </w:p>
        </w:tc>
        <w:tc>
          <w:tcPr>
            <w:tcW w:w="1843" w:type="dxa"/>
            <w:vAlign w:val="center"/>
          </w:tcPr>
          <w:p w14:paraId="56DE5ADE" w14:textId="7CD7664A" w:rsidR="003F3A87" w:rsidRPr="00526868" w:rsidRDefault="003F3A87" w:rsidP="00526868">
            <w:pPr>
              <w:pStyle w:val="Default"/>
              <w:jc w:val="center"/>
              <w:rPr>
                <w:rFonts w:ascii="Arial" w:hAnsi="Arial" w:cs="Arial"/>
              </w:rPr>
            </w:pPr>
            <w:r w:rsidRPr="00526868">
              <w:rPr>
                <w:rFonts w:ascii="Arial" w:hAnsi="Arial" w:cs="Arial"/>
              </w:rPr>
              <w:t>46 – 100kg</w:t>
            </w:r>
          </w:p>
        </w:tc>
        <w:tc>
          <w:tcPr>
            <w:tcW w:w="4678" w:type="dxa"/>
            <w:vAlign w:val="center"/>
          </w:tcPr>
          <w:p w14:paraId="773EDB5F" w14:textId="7AB608BC" w:rsidR="003F3A87" w:rsidRPr="00526868" w:rsidRDefault="003F3A87" w:rsidP="00526868">
            <w:pPr>
              <w:pStyle w:val="Default"/>
              <w:jc w:val="center"/>
              <w:rPr>
                <w:rFonts w:ascii="Arial" w:hAnsi="Arial" w:cs="Arial"/>
              </w:rPr>
            </w:pPr>
            <w:r w:rsidRPr="00526868">
              <w:rPr>
                <w:rFonts w:ascii="Arial" w:hAnsi="Arial" w:cs="Arial"/>
              </w:rPr>
              <w:t>20mg ONCE daily</w:t>
            </w:r>
          </w:p>
        </w:tc>
      </w:tr>
      <w:tr w:rsidR="003F3A87" w14:paraId="7E27455F" w14:textId="77777777" w:rsidTr="00526868">
        <w:trPr>
          <w:trHeight w:val="405"/>
        </w:trPr>
        <w:tc>
          <w:tcPr>
            <w:tcW w:w="2405" w:type="dxa"/>
            <w:vMerge/>
            <w:vAlign w:val="center"/>
          </w:tcPr>
          <w:p w14:paraId="034FA3D9" w14:textId="77777777" w:rsidR="003F3A87" w:rsidRPr="00526868" w:rsidRDefault="003F3A87" w:rsidP="00526868">
            <w:pPr>
              <w:pStyle w:val="Default"/>
              <w:jc w:val="center"/>
              <w:rPr>
                <w:rFonts w:ascii="Arial" w:hAnsi="Arial" w:cs="Arial"/>
              </w:rPr>
            </w:pPr>
          </w:p>
        </w:tc>
        <w:tc>
          <w:tcPr>
            <w:tcW w:w="1843" w:type="dxa"/>
            <w:vAlign w:val="center"/>
          </w:tcPr>
          <w:p w14:paraId="56E516E0" w14:textId="2C318888" w:rsidR="003F3A87" w:rsidRPr="00526868" w:rsidRDefault="003F3A87" w:rsidP="00526868">
            <w:pPr>
              <w:pStyle w:val="Default"/>
              <w:jc w:val="center"/>
              <w:rPr>
                <w:rFonts w:ascii="Arial" w:hAnsi="Arial" w:cs="Arial"/>
              </w:rPr>
            </w:pPr>
            <w:r w:rsidRPr="00526868">
              <w:rPr>
                <w:rFonts w:ascii="Arial" w:hAnsi="Arial" w:cs="Arial"/>
              </w:rPr>
              <w:t>101 – 150kg</w:t>
            </w:r>
          </w:p>
        </w:tc>
        <w:tc>
          <w:tcPr>
            <w:tcW w:w="4678" w:type="dxa"/>
            <w:vAlign w:val="center"/>
          </w:tcPr>
          <w:p w14:paraId="592511C3" w14:textId="347A1433" w:rsidR="003F3A87" w:rsidRPr="00526868" w:rsidRDefault="003F3A87" w:rsidP="00526868">
            <w:pPr>
              <w:pStyle w:val="Default"/>
              <w:jc w:val="center"/>
              <w:rPr>
                <w:rFonts w:ascii="Arial" w:hAnsi="Arial" w:cs="Arial"/>
              </w:rPr>
            </w:pPr>
            <w:r w:rsidRPr="00526868">
              <w:rPr>
                <w:rFonts w:ascii="Arial" w:hAnsi="Arial" w:cs="Arial"/>
              </w:rPr>
              <w:t>40mg ONCE daily *</w:t>
            </w:r>
          </w:p>
        </w:tc>
      </w:tr>
      <w:tr w:rsidR="003F3A87" w14:paraId="15C8F927" w14:textId="77777777" w:rsidTr="00526868">
        <w:trPr>
          <w:trHeight w:val="411"/>
        </w:trPr>
        <w:tc>
          <w:tcPr>
            <w:tcW w:w="2405" w:type="dxa"/>
            <w:vMerge/>
            <w:vAlign w:val="center"/>
          </w:tcPr>
          <w:p w14:paraId="34158B78" w14:textId="77777777" w:rsidR="003F3A87" w:rsidRPr="00526868" w:rsidRDefault="003F3A87" w:rsidP="00526868">
            <w:pPr>
              <w:pStyle w:val="Default"/>
              <w:jc w:val="center"/>
              <w:rPr>
                <w:rFonts w:ascii="Arial" w:hAnsi="Arial" w:cs="Arial"/>
              </w:rPr>
            </w:pPr>
          </w:p>
        </w:tc>
        <w:tc>
          <w:tcPr>
            <w:tcW w:w="1843" w:type="dxa"/>
            <w:vAlign w:val="center"/>
          </w:tcPr>
          <w:p w14:paraId="22F8FFC7" w14:textId="214D7887" w:rsidR="003F3A87" w:rsidRPr="00526868" w:rsidRDefault="003F3A87" w:rsidP="00526868">
            <w:pPr>
              <w:pStyle w:val="Default"/>
              <w:jc w:val="center"/>
              <w:rPr>
                <w:rFonts w:ascii="Arial" w:hAnsi="Arial" w:cs="Arial"/>
              </w:rPr>
            </w:pPr>
            <w:r w:rsidRPr="00526868">
              <w:rPr>
                <w:rFonts w:ascii="Arial" w:hAnsi="Arial" w:cs="Arial"/>
              </w:rPr>
              <w:t>&gt;150 kg</w:t>
            </w:r>
          </w:p>
        </w:tc>
        <w:tc>
          <w:tcPr>
            <w:tcW w:w="4678" w:type="dxa"/>
            <w:vAlign w:val="center"/>
          </w:tcPr>
          <w:p w14:paraId="02627256" w14:textId="4A65C4C4" w:rsidR="003F3A87" w:rsidRPr="00526868" w:rsidRDefault="003F3A87" w:rsidP="00526868">
            <w:pPr>
              <w:pStyle w:val="Default"/>
              <w:jc w:val="center"/>
              <w:rPr>
                <w:rFonts w:ascii="Arial" w:hAnsi="Arial" w:cs="Arial"/>
              </w:rPr>
            </w:pPr>
            <w:r w:rsidRPr="00526868">
              <w:rPr>
                <w:rFonts w:ascii="Arial" w:hAnsi="Arial" w:cs="Arial"/>
              </w:rPr>
              <w:t>60mg ONCE daily *</w:t>
            </w:r>
          </w:p>
        </w:tc>
      </w:tr>
    </w:tbl>
    <w:p w14:paraId="0F71CF40" w14:textId="77777777" w:rsidR="002E006F" w:rsidRPr="002E006F" w:rsidRDefault="002E006F" w:rsidP="002E006F">
      <w:pPr>
        <w:rPr>
          <w:lang w:val="en-US"/>
        </w:rPr>
      </w:pPr>
    </w:p>
    <w:p w14:paraId="576DB5B0" w14:textId="77777777" w:rsidR="002E006F" w:rsidRPr="002E006F" w:rsidRDefault="002E006F" w:rsidP="002E006F">
      <w:pPr>
        <w:rPr>
          <w:lang w:val="en-US"/>
        </w:rPr>
      </w:pPr>
    </w:p>
    <w:p w14:paraId="799D4653" w14:textId="4CE9D185" w:rsidR="002E006F" w:rsidRPr="002E006F" w:rsidRDefault="003F3A87" w:rsidP="002E006F">
      <w:pPr>
        <w:pStyle w:val="Heading3"/>
        <w:rPr>
          <w:lang w:val="en-US"/>
        </w:rPr>
      </w:pPr>
      <w:bookmarkStart w:id="47" w:name="_Toc184025133"/>
      <w:bookmarkStart w:id="48" w:name="_Toc535239225"/>
      <w:r>
        <w:rPr>
          <w:lang w:val="en-US"/>
        </w:rPr>
        <w:t>Monitoring</w:t>
      </w:r>
      <w:bookmarkEnd w:id="47"/>
    </w:p>
    <w:p w14:paraId="219FC555" w14:textId="77777777" w:rsidR="002E006F" w:rsidRPr="002E006F" w:rsidRDefault="002E006F" w:rsidP="002E006F">
      <w:pPr>
        <w:rPr>
          <w:lang w:val="en-US"/>
        </w:rPr>
      </w:pPr>
    </w:p>
    <w:p w14:paraId="4ACBD2C4" w14:textId="77777777" w:rsidR="003F3A87" w:rsidRPr="003F3A87" w:rsidRDefault="003F3A87" w:rsidP="003F3A87">
      <w:pPr>
        <w:pStyle w:val="Default"/>
        <w:rPr>
          <w:rFonts w:ascii="Arial" w:hAnsi="Arial" w:cs="Arial"/>
        </w:rPr>
      </w:pPr>
      <w:r w:rsidRPr="003F3A87">
        <w:rPr>
          <w:rFonts w:ascii="Arial" w:hAnsi="Arial" w:cs="Arial"/>
        </w:rPr>
        <w:t xml:space="preserve">Anti-xa levels are only required in exceptional circumstances for VTE prophylaxis. Consider monitoring anti-Xa levels in overweight patients with renal impairment. </w:t>
      </w:r>
    </w:p>
    <w:p w14:paraId="108D09B7" w14:textId="77777777" w:rsidR="002E006F" w:rsidRPr="002E006F" w:rsidRDefault="002E006F" w:rsidP="002E006F">
      <w:pPr>
        <w:rPr>
          <w:lang w:val="en-US"/>
        </w:rPr>
      </w:pPr>
    </w:p>
    <w:p w14:paraId="3A9061F4" w14:textId="77777777" w:rsidR="00A804EB" w:rsidRPr="00A804EB" w:rsidRDefault="00A804EB" w:rsidP="008622E1">
      <w:pPr>
        <w:pStyle w:val="BulletLevel1"/>
      </w:pPr>
      <w:r w:rsidRPr="00A804EB">
        <w:t>Take pre–dose (trough) and 2 – 4 hours post dose (peak).</w:t>
      </w:r>
    </w:p>
    <w:p w14:paraId="500A9F9D" w14:textId="77777777" w:rsidR="00A804EB" w:rsidRPr="00A804EB" w:rsidRDefault="00A804EB" w:rsidP="008622E1">
      <w:pPr>
        <w:pStyle w:val="BulletLevel1"/>
      </w:pPr>
      <w:r w:rsidRPr="00A804EB">
        <w:t>Aim for trough less than 0.25iu/ml and peak 0.2 – 0.5iu/ml</w:t>
      </w:r>
    </w:p>
    <w:p w14:paraId="429A18EF" w14:textId="77777777" w:rsidR="00A804EB" w:rsidRPr="00A804EB" w:rsidRDefault="00A804EB" w:rsidP="008622E1">
      <w:pPr>
        <w:pStyle w:val="BulletLevel1"/>
      </w:pPr>
      <w:r w:rsidRPr="00A804EB">
        <w:t>Outside this range should be discussed with Haematology</w:t>
      </w:r>
    </w:p>
    <w:p w14:paraId="15B43E74" w14:textId="77777777" w:rsidR="002E006F" w:rsidRPr="002E006F" w:rsidRDefault="002E006F" w:rsidP="002E006F">
      <w:pPr>
        <w:rPr>
          <w:lang w:val="en-US"/>
        </w:rPr>
      </w:pPr>
    </w:p>
    <w:p w14:paraId="3ECCA3B6" w14:textId="77777777" w:rsidR="002E006F" w:rsidRPr="002E006F" w:rsidRDefault="002E006F" w:rsidP="002E006F">
      <w:pPr>
        <w:pStyle w:val="Heading3"/>
        <w:rPr>
          <w:lang w:val="en-US"/>
        </w:rPr>
      </w:pPr>
      <w:bookmarkStart w:id="49" w:name="_Toc8738283"/>
      <w:bookmarkStart w:id="50" w:name="_Toc184025134"/>
      <w:r w:rsidRPr="002E006F">
        <w:rPr>
          <w:lang w:val="en-US"/>
        </w:rPr>
        <w:t>Duration of Thromboprophylaxis</w:t>
      </w:r>
      <w:bookmarkEnd w:id="48"/>
      <w:bookmarkEnd w:id="49"/>
      <w:bookmarkEnd w:id="50"/>
    </w:p>
    <w:p w14:paraId="4BB1401A" w14:textId="77777777" w:rsidR="002E006F" w:rsidRPr="002E006F" w:rsidRDefault="002E006F" w:rsidP="002E006F">
      <w:pPr>
        <w:rPr>
          <w:lang w:val="en-US"/>
        </w:rPr>
      </w:pPr>
    </w:p>
    <w:p w14:paraId="6A40282D" w14:textId="77777777" w:rsidR="00A804EB" w:rsidRPr="00A804EB" w:rsidRDefault="00A804EB" w:rsidP="008622E1">
      <w:pPr>
        <w:pStyle w:val="BulletLevel1"/>
        <w:rPr>
          <w:lang w:val="en-US"/>
        </w:rPr>
      </w:pPr>
      <w:r w:rsidRPr="00A804EB">
        <w:rPr>
          <w:lang w:val="en-US"/>
        </w:rPr>
        <w:t xml:space="preserve">Fragility fractures of the pelvis, hip and proximal femur – LMWH for 28 days  </w:t>
      </w:r>
    </w:p>
    <w:p w14:paraId="3A523ADD" w14:textId="77777777" w:rsidR="00A804EB" w:rsidRPr="00A804EB" w:rsidRDefault="00A804EB" w:rsidP="008622E1">
      <w:pPr>
        <w:pStyle w:val="BulletLevel1"/>
        <w:rPr>
          <w:lang w:val="en-US"/>
        </w:rPr>
      </w:pPr>
      <w:r w:rsidRPr="00A804EB">
        <w:rPr>
          <w:lang w:val="en-US"/>
        </w:rPr>
        <w:t>Elective hip replacement – LMWH for 28 days</w:t>
      </w:r>
    </w:p>
    <w:p w14:paraId="7FA8F511" w14:textId="54E7D7C1" w:rsidR="00A804EB" w:rsidRPr="00A804EB" w:rsidRDefault="00A804EB" w:rsidP="008622E1">
      <w:pPr>
        <w:pStyle w:val="BulletLevel1"/>
        <w:rPr>
          <w:lang w:val="en-US"/>
        </w:rPr>
      </w:pPr>
      <w:r w:rsidRPr="00A804EB">
        <w:rPr>
          <w:lang w:val="en-US"/>
        </w:rPr>
        <w:t xml:space="preserve">Elective knee replacement – </w:t>
      </w:r>
      <w:r w:rsidR="006E777B">
        <w:rPr>
          <w:lang w:val="en-US"/>
        </w:rPr>
        <w:t xml:space="preserve">LMWH or </w:t>
      </w:r>
      <w:r w:rsidRPr="00A804EB">
        <w:rPr>
          <w:lang w:val="en-US"/>
        </w:rPr>
        <w:t>Aspirin 150mg po od for 14 days</w:t>
      </w:r>
    </w:p>
    <w:p w14:paraId="0FCE83A4" w14:textId="77777777" w:rsidR="00A804EB" w:rsidRPr="00A804EB" w:rsidRDefault="00A804EB" w:rsidP="008622E1">
      <w:pPr>
        <w:pStyle w:val="BulletLevel1"/>
        <w:rPr>
          <w:lang w:val="en-US"/>
        </w:rPr>
      </w:pPr>
      <w:r w:rsidRPr="00A804EB">
        <w:rPr>
          <w:lang w:val="en-US"/>
        </w:rPr>
        <w:t>All other orthopaedic surgery LMWH whilst immobile – no longer than 42 days</w:t>
      </w:r>
    </w:p>
    <w:p w14:paraId="009CE4CD" w14:textId="77777777" w:rsidR="00A804EB" w:rsidRPr="00A804EB" w:rsidRDefault="00A804EB" w:rsidP="008622E1">
      <w:pPr>
        <w:pStyle w:val="BulletLevel1"/>
        <w:rPr>
          <w:lang w:val="en-US"/>
        </w:rPr>
      </w:pPr>
      <w:r w:rsidRPr="00A804EB">
        <w:rPr>
          <w:lang w:val="en-US"/>
        </w:rPr>
        <w:t>Spinal injury – LMWH for 30 days</w:t>
      </w:r>
    </w:p>
    <w:p w14:paraId="1E02451F" w14:textId="77777777" w:rsidR="00A804EB" w:rsidRPr="00A804EB" w:rsidRDefault="00A804EB" w:rsidP="008622E1">
      <w:pPr>
        <w:pStyle w:val="BulletLevel1"/>
        <w:rPr>
          <w:lang w:val="en-US"/>
        </w:rPr>
      </w:pPr>
      <w:r w:rsidRPr="00A804EB">
        <w:rPr>
          <w:lang w:val="en-US"/>
        </w:rPr>
        <w:t>Major abdominal cancer surgery – LMWH for 28 days</w:t>
      </w:r>
    </w:p>
    <w:p w14:paraId="58227607" w14:textId="77777777" w:rsidR="00A804EB" w:rsidRPr="00A804EB" w:rsidRDefault="00A804EB" w:rsidP="008622E1">
      <w:pPr>
        <w:pStyle w:val="BulletLevel1"/>
        <w:rPr>
          <w:lang w:val="en-US"/>
        </w:rPr>
      </w:pPr>
      <w:r w:rsidRPr="00A804EB">
        <w:rPr>
          <w:lang w:val="en-US"/>
        </w:rPr>
        <w:t>All other patients until mobility no longer reduced</w:t>
      </w:r>
    </w:p>
    <w:p w14:paraId="10113B8A" w14:textId="77777777" w:rsidR="002E006F" w:rsidRPr="002E006F" w:rsidRDefault="002E006F" w:rsidP="002E006F">
      <w:pPr>
        <w:rPr>
          <w:lang w:val="en-US"/>
        </w:rPr>
      </w:pPr>
    </w:p>
    <w:p w14:paraId="0025E837" w14:textId="77777777" w:rsidR="002E006F" w:rsidRPr="002E006F" w:rsidRDefault="002E006F" w:rsidP="002E006F">
      <w:pPr>
        <w:pStyle w:val="Heading3"/>
        <w:rPr>
          <w:lang w:val="en-US"/>
        </w:rPr>
      </w:pPr>
      <w:bookmarkStart w:id="51" w:name="_Toc535239226"/>
      <w:bookmarkStart w:id="52" w:name="_Toc8738284"/>
      <w:bookmarkStart w:id="53" w:name="_Toc184025135"/>
      <w:r w:rsidRPr="002E006F">
        <w:rPr>
          <w:lang w:val="en-US"/>
        </w:rPr>
        <w:lastRenderedPageBreak/>
        <w:t>Monitoring of LMWH therapy following discharge following discharge</w:t>
      </w:r>
      <w:bookmarkEnd w:id="51"/>
      <w:bookmarkEnd w:id="52"/>
      <w:bookmarkEnd w:id="53"/>
    </w:p>
    <w:p w14:paraId="494A399B" w14:textId="77777777" w:rsidR="002E006F" w:rsidRPr="002E006F" w:rsidRDefault="002E006F" w:rsidP="002E006F">
      <w:pPr>
        <w:rPr>
          <w:lang w:val="en-US"/>
        </w:rPr>
      </w:pPr>
    </w:p>
    <w:p w14:paraId="3F90CEEB" w14:textId="77777777" w:rsidR="002E006F" w:rsidRPr="002E006F" w:rsidRDefault="002E006F" w:rsidP="002E006F">
      <w:pPr>
        <w:rPr>
          <w:lang w:val="en-US"/>
        </w:rPr>
      </w:pPr>
      <w:r w:rsidRPr="002E006F">
        <w:rPr>
          <w:lang w:val="en-US"/>
        </w:rPr>
        <w:t>Refer to guidelines for the required monitoring of other pharmacological prophylaxis.</w:t>
      </w:r>
    </w:p>
    <w:p w14:paraId="315EECE8" w14:textId="77777777" w:rsidR="002E006F" w:rsidRPr="002E006F" w:rsidRDefault="002E006F" w:rsidP="002E006F">
      <w:pPr>
        <w:rPr>
          <w:lang w:val="en-US"/>
        </w:rPr>
      </w:pPr>
    </w:p>
    <w:p w14:paraId="0196CD7D" w14:textId="77777777" w:rsidR="00A804EB" w:rsidRPr="00A804EB" w:rsidRDefault="00A804EB" w:rsidP="008622E1">
      <w:pPr>
        <w:pStyle w:val="BulletLevel1"/>
        <w:rPr>
          <w:lang w:val="en-US"/>
        </w:rPr>
      </w:pPr>
      <w:r w:rsidRPr="00A804EB">
        <w:rPr>
          <w:lang w:val="en-US"/>
        </w:rPr>
        <w:t>Patients who are to receive any heparin should have a baseline platelet count undertaken prior to first dose.</w:t>
      </w:r>
    </w:p>
    <w:p w14:paraId="1155EEEF" w14:textId="3BB3ABB3" w:rsidR="00A804EB" w:rsidRPr="00A804EB" w:rsidRDefault="00A804EB" w:rsidP="008622E1">
      <w:pPr>
        <w:pStyle w:val="BulletLevel1"/>
        <w:rPr>
          <w:lang w:val="en-US"/>
        </w:rPr>
      </w:pPr>
      <w:r w:rsidRPr="00A804EB">
        <w:rPr>
          <w:lang w:val="en-US"/>
        </w:rPr>
        <w:t>Platelets must be greater than 75x10</w:t>
      </w:r>
      <w:r w:rsidRPr="00A804EB">
        <w:rPr>
          <w:vertAlign w:val="superscript"/>
          <w:lang w:val="en-US"/>
        </w:rPr>
        <w:t>9</w:t>
      </w:r>
      <w:r w:rsidRPr="00A804EB">
        <w:rPr>
          <w:lang w:val="en-US"/>
        </w:rPr>
        <w:t xml:space="preserve">/L prior to first dose.  </w:t>
      </w:r>
      <w:r w:rsidR="004143FF">
        <w:rPr>
          <w:lang w:val="en-US"/>
        </w:rPr>
        <w:br/>
      </w:r>
      <w:r w:rsidRPr="00A804EB">
        <w:rPr>
          <w:lang w:val="en-US"/>
        </w:rPr>
        <w:t>If less than 75x10</w:t>
      </w:r>
      <w:r w:rsidRPr="00A804EB">
        <w:rPr>
          <w:vertAlign w:val="superscript"/>
          <w:lang w:val="en-US"/>
        </w:rPr>
        <w:t>9</w:t>
      </w:r>
      <w:r w:rsidRPr="00A804EB">
        <w:rPr>
          <w:lang w:val="en-US"/>
        </w:rPr>
        <w:t>/</w:t>
      </w:r>
      <w:proofErr w:type="gramStart"/>
      <w:r w:rsidRPr="00A804EB">
        <w:rPr>
          <w:lang w:val="en-US"/>
        </w:rPr>
        <w:t>L</w:t>
      </w:r>
      <w:proofErr w:type="gramEnd"/>
      <w:r w:rsidRPr="00A804EB">
        <w:rPr>
          <w:lang w:val="en-US"/>
        </w:rPr>
        <w:t xml:space="preserve"> please contact haematology for advice.</w:t>
      </w:r>
    </w:p>
    <w:p w14:paraId="28BBF4FC" w14:textId="77777777" w:rsidR="00A804EB" w:rsidRPr="00A804EB" w:rsidRDefault="00A804EB" w:rsidP="008622E1">
      <w:pPr>
        <w:pStyle w:val="BulletLevel1"/>
        <w:rPr>
          <w:lang w:val="en-US"/>
        </w:rPr>
      </w:pPr>
      <w:r w:rsidRPr="00A804EB">
        <w:rPr>
          <w:lang w:val="en-US"/>
        </w:rPr>
        <w:t>Post-cardiopulmonary bypass patients receiving low molecular weight heparin (LMWH) should have platelet count monitoring performed every 2–3 days from days 4 to 14 or until heparin is stopped.</w:t>
      </w:r>
    </w:p>
    <w:p w14:paraId="4DB22254" w14:textId="77777777" w:rsidR="00A804EB" w:rsidRPr="00A804EB" w:rsidRDefault="00A804EB" w:rsidP="008622E1">
      <w:pPr>
        <w:pStyle w:val="BulletLevel1"/>
        <w:rPr>
          <w:lang w:val="en-US"/>
        </w:rPr>
      </w:pPr>
      <w:r w:rsidRPr="00A804EB">
        <w:rPr>
          <w:lang w:val="en-US"/>
        </w:rPr>
        <w:t>Post-operative patients (other than cardiopulmonary bypass patients) receiving LMWH do not need routine platelet monitoring.</w:t>
      </w:r>
    </w:p>
    <w:p w14:paraId="45DBCA3E" w14:textId="77777777" w:rsidR="00A804EB" w:rsidRPr="00A804EB" w:rsidRDefault="00A804EB" w:rsidP="008622E1">
      <w:pPr>
        <w:pStyle w:val="BulletLevel1"/>
        <w:rPr>
          <w:lang w:val="en-US"/>
        </w:rPr>
      </w:pPr>
      <w:r w:rsidRPr="00A804EB">
        <w:rPr>
          <w:lang w:val="en-US"/>
        </w:rPr>
        <w:t>Orthopaedic patients attending fracture clinic must have blood results reviewed at Fracture clinic appointment.  If baseline potassium and liver function were within normal ranges and eGFR was &gt; 30ml/minute/1.73m</w:t>
      </w:r>
      <w:r w:rsidRPr="00A804EB">
        <w:rPr>
          <w:vertAlign w:val="superscript"/>
          <w:lang w:val="en-US"/>
        </w:rPr>
        <w:t>2</w:t>
      </w:r>
      <w:r w:rsidRPr="00A804EB">
        <w:rPr>
          <w:lang w:val="en-US"/>
        </w:rPr>
        <w:t>, then no further monitoring of these parameters is usually required. If outside of these parameters seek advice on ongoing monitoring from haematology.</w:t>
      </w:r>
    </w:p>
    <w:p w14:paraId="4B2A8842" w14:textId="77777777" w:rsidR="002E006F" w:rsidRPr="002E006F" w:rsidRDefault="002E006F" w:rsidP="002E006F">
      <w:pPr>
        <w:rPr>
          <w:lang w:val="en-US"/>
        </w:rPr>
      </w:pPr>
    </w:p>
    <w:p w14:paraId="39BA24FE" w14:textId="77777777" w:rsidR="002E006F" w:rsidRPr="002E006F" w:rsidRDefault="002E006F" w:rsidP="002E006F">
      <w:pPr>
        <w:rPr>
          <w:lang w:val="en-US"/>
        </w:rPr>
      </w:pPr>
      <w:r w:rsidRPr="002E006F">
        <w:rPr>
          <w:lang w:val="en-US"/>
        </w:rPr>
        <w:t>If other pharmacological prophylaxis is used refer to the Summary of Product Characteristics or other appropriate guidelines for the monitoring required.</w:t>
      </w:r>
    </w:p>
    <w:p w14:paraId="3529F605" w14:textId="77777777" w:rsidR="002E006F" w:rsidRPr="002E006F" w:rsidRDefault="002E006F" w:rsidP="002E006F">
      <w:pPr>
        <w:rPr>
          <w:lang w:val="en-US"/>
        </w:rPr>
      </w:pPr>
    </w:p>
    <w:p w14:paraId="3756CE74" w14:textId="77777777" w:rsidR="002E006F" w:rsidRPr="002E006F" w:rsidRDefault="002E006F" w:rsidP="002E006F">
      <w:pPr>
        <w:pStyle w:val="Heading2"/>
        <w:rPr>
          <w:lang w:val="en-US"/>
        </w:rPr>
      </w:pPr>
      <w:bookmarkStart w:id="54" w:name="_Toc535239227"/>
      <w:bookmarkStart w:id="55" w:name="_Toc8738285"/>
      <w:bookmarkStart w:id="56" w:name="_Toc184025136"/>
      <w:r w:rsidRPr="002E006F">
        <w:rPr>
          <w:lang w:val="en-US"/>
        </w:rPr>
        <w:t>Patients requiring District Nurse follow up</w:t>
      </w:r>
      <w:bookmarkEnd w:id="54"/>
      <w:bookmarkEnd w:id="55"/>
      <w:bookmarkEnd w:id="56"/>
    </w:p>
    <w:p w14:paraId="183B0445" w14:textId="77777777" w:rsidR="002E006F" w:rsidRPr="002E006F" w:rsidRDefault="002E006F" w:rsidP="002E006F">
      <w:pPr>
        <w:rPr>
          <w:lang w:val="en-US"/>
        </w:rPr>
      </w:pPr>
    </w:p>
    <w:p w14:paraId="438C7159" w14:textId="77777777" w:rsidR="00914E09" w:rsidRPr="00914E09" w:rsidRDefault="00914E09" w:rsidP="008622E1">
      <w:pPr>
        <w:pStyle w:val="BulletLevel1"/>
        <w:rPr>
          <w:lang w:val="en-US"/>
        </w:rPr>
      </w:pPr>
      <w:r w:rsidRPr="00914E09">
        <w:rPr>
          <w:lang w:val="en-US"/>
        </w:rPr>
        <w:t xml:space="preserve">Referral to District Nursing (DN) services must be </w:t>
      </w:r>
      <w:proofErr w:type="gramStart"/>
      <w:r w:rsidRPr="00914E09">
        <w:rPr>
          <w:lang w:val="en-US"/>
        </w:rPr>
        <w:t>made</w:t>
      </w:r>
      <w:proofErr w:type="gramEnd"/>
      <w:r w:rsidRPr="00914E09">
        <w:rPr>
          <w:lang w:val="en-US"/>
        </w:rPr>
        <w:t xml:space="preserve"> using the e-referral system.</w:t>
      </w:r>
    </w:p>
    <w:p w14:paraId="7DE5353A" w14:textId="77777777" w:rsidR="00914E09" w:rsidRPr="00914E09" w:rsidRDefault="00914E09" w:rsidP="008622E1">
      <w:pPr>
        <w:pStyle w:val="BulletLevel1"/>
        <w:rPr>
          <w:lang w:val="en-US"/>
        </w:rPr>
      </w:pPr>
      <w:r w:rsidRPr="00914E09">
        <w:rPr>
          <w:lang w:val="en-US"/>
        </w:rPr>
        <w:t xml:space="preserve">It must be clearly stated on the e-referral form for DN follow up regarding the administration of prescribed prophylaxis.  Where DN administration is </w:t>
      </w:r>
      <w:proofErr w:type="gramStart"/>
      <w:r w:rsidRPr="00914E09">
        <w:rPr>
          <w:lang w:val="en-US"/>
        </w:rPr>
        <w:t>required</w:t>
      </w:r>
      <w:proofErr w:type="gramEnd"/>
      <w:r w:rsidRPr="00914E09">
        <w:rPr>
          <w:lang w:val="en-US"/>
        </w:rPr>
        <w:t xml:space="preserve"> all equipment must be provided.</w:t>
      </w:r>
    </w:p>
    <w:p w14:paraId="5D37E05D" w14:textId="77777777" w:rsidR="00914E09" w:rsidRPr="00914E09" w:rsidRDefault="00914E09" w:rsidP="008622E1">
      <w:pPr>
        <w:pStyle w:val="BulletLevel1"/>
        <w:rPr>
          <w:lang w:val="en-US"/>
        </w:rPr>
      </w:pPr>
      <w:r w:rsidRPr="00914E09">
        <w:rPr>
          <w:lang w:val="en-US"/>
        </w:rPr>
        <w:t xml:space="preserve">Where required bloods to be taken prescription of pharmaceutical prophylaxis, weight of patient and time required to be given.  </w:t>
      </w:r>
    </w:p>
    <w:p w14:paraId="43A73803" w14:textId="77777777" w:rsidR="00914E09" w:rsidRPr="00914E09" w:rsidRDefault="00914E09" w:rsidP="008622E1">
      <w:pPr>
        <w:pStyle w:val="BulletLevel1"/>
        <w:rPr>
          <w:lang w:val="en-US"/>
        </w:rPr>
      </w:pPr>
      <w:r w:rsidRPr="00914E09">
        <w:rPr>
          <w:lang w:val="en-US"/>
        </w:rPr>
        <w:t>The DN Team caring for a patient requiring monitoring must ensure all above information is included within the e-referral and schedule visits accordingly.</w:t>
      </w:r>
    </w:p>
    <w:p w14:paraId="011C97F8" w14:textId="77777777" w:rsidR="00914E09" w:rsidRPr="00914E09" w:rsidRDefault="00914E09" w:rsidP="008622E1">
      <w:pPr>
        <w:pStyle w:val="BulletLevel1"/>
        <w:rPr>
          <w:lang w:val="en-US"/>
        </w:rPr>
      </w:pPr>
      <w:r w:rsidRPr="00914E09">
        <w:rPr>
          <w:lang w:val="en-US"/>
        </w:rPr>
        <w:t>It is the responsibility of the healthcare professional allocated to administer the prophylaxis to ensure the blood results are checked and within range prior to administration of pharmaceutical prophylaxis regimes as appropriate.</w:t>
      </w:r>
    </w:p>
    <w:p w14:paraId="40FEC682" w14:textId="77777777" w:rsidR="00914E09" w:rsidRPr="00914E09" w:rsidRDefault="00914E09" w:rsidP="008622E1">
      <w:pPr>
        <w:pStyle w:val="BulletLevel1"/>
        <w:rPr>
          <w:lang w:val="en-US"/>
        </w:rPr>
      </w:pPr>
      <w:r w:rsidRPr="00914E09">
        <w:rPr>
          <w:lang w:val="en-US"/>
        </w:rPr>
        <w:t xml:space="preserve">The review of blood results is the responsibility of the requesting doctor, subsequent dose changes must be communicated to the patient and carer (or DN where applicable) and documented within the </w:t>
      </w:r>
      <w:proofErr w:type="gramStart"/>
      <w:r w:rsidRPr="00914E09">
        <w:rPr>
          <w:lang w:val="en-US"/>
        </w:rPr>
        <w:t>patients</w:t>
      </w:r>
      <w:proofErr w:type="gramEnd"/>
      <w:r w:rsidRPr="00914E09">
        <w:rPr>
          <w:lang w:val="en-US"/>
        </w:rPr>
        <w:t xml:space="preserve"> case </w:t>
      </w:r>
      <w:proofErr w:type="gramStart"/>
      <w:r w:rsidRPr="00914E09">
        <w:rPr>
          <w:lang w:val="en-US"/>
        </w:rPr>
        <w:t>notes )</w:t>
      </w:r>
      <w:proofErr w:type="gramEnd"/>
      <w:r w:rsidRPr="00914E09">
        <w:rPr>
          <w:lang w:val="en-US"/>
        </w:rPr>
        <w:t xml:space="preserve"> </w:t>
      </w:r>
    </w:p>
    <w:p w14:paraId="1CECCF46" w14:textId="77777777" w:rsidR="002E006F" w:rsidRPr="002E006F" w:rsidRDefault="002E006F" w:rsidP="002E006F">
      <w:pPr>
        <w:rPr>
          <w:lang w:val="en-US"/>
        </w:rPr>
      </w:pPr>
    </w:p>
    <w:p w14:paraId="112E321C" w14:textId="77777777" w:rsidR="004143FF" w:rsidRDefault="004143FF">
      <w:pPr>
        <w:rPr>
          <w:b/>
          <w:lang w:val="en-US"/>
        </w:rPr>
      </w:pPr>
      <w:bookmarkStart w:id="57" w:name="_Toc535239228"/>
      <w:bookmarkStart w:id="58" w:name="_Toc8738286"/>
      <w:r>
        <w:rPr>
          <w:lang w:val="en-US"/>
        </w:rPr>
        <w:br w:type="page"/>
      </w:r>
    </w:p>
    <w:p w14:paraId="43D86DA5" w14:textId="42715748" w:rsidR="002E006F" w:rsidRPr="002E006F" w:rsidRDefault="002E006F" w:rsidP="002E006F">
      <w:pPr>
        <w:pStyle w:val="Heading2"/>
        <w:rPr>
          <w:lang w:val="en-US"/>
        </w:rPr>
      </w:pPr>
      <w:bookmarkStart w:id="59" w:name="_Toc184025137"/>
      <w:r w:rsidRPr="002E006F">
        <w:rPr>
          <w:lang w:val="en-US"/>
        </w:rPr>
        <w:lastRenderedPageBreak/>
        <w:t>Reporting of confirmed hospital attributed VTE</w:t>
      </w:r>
      <w:bookmarkEnd w:id="57"/>
      <w:bookmarkEnd w:id="58"/>
      <w:bookmarkEnd w:id="59"/>
    </w:p>
    <w:p w14:paraId="60F33C24" w14:textId="77777777" w:rsidR="002E006F" w:rsidRPr="002E006F" w:rsidRDefault="002E006F" w:rsidP="002E006F">
      <w:pPr>
        <w:rPr>
          <w:lang w:val="en-US"/>
        </w:rPr>
      </w:pPr>
    </w:p>
    <w:p w14:paraId="2D0015B4" w14:textId="77777777" w:rsidR="00914E09" w:rsidRPr="00914E09" w:rsidRDefault="00914E09" w:rsidP="008622E1">
      <w:pPr>
        <w:pStyle w:val="BulletLevel1"/>
        <w:rPr>
          <w:lang w:val="en-US"/>
        </w:rPr>
      </w:pPr>
      <w:r w:rsidRPr="00914E09">
        <w:rPr>
          <w:lang w:val="en-US"/>
        </w:rPr>
        <w:t xml:space="preserve">An incident Report must be completed for all patients readmitted to hospital within a </w:t>
      </w:r>
      <w:proofErr w:type="gramStart"/>
      <w:r w:rsidRPr="00914E09">
        <w:rPr>
          <w:lang w:val="en-US"/>
        </w:rPr>
        <w:t>90 day</w:t>
      </w:r>
      <w:proofErr w:type="gramEnd"/>
      <w:r w:rsidRPr="00914E09">
        <w:rPr>
          <w:lang w:val="en-US"/>
        </w:rPr>
        <w:t xml:space="preserve"> period of a previous admission where a DVT or PE is confirmed and incident number documented within the patients records.</w:t>
      </w:r>
    </w:p>
    <w:p w14:paraId="774D543B" w14:textId="77777777" w:rsidR="00914E09" w:rsidRPr="00914E09" w:rsidRDefault="00914E09" w:rsidP="008622E1">
      <w:pPr>
        <w:pStyle w:val="BulletLevel1"/>
        <w:rPr>
          <w:lang w:val="en-US"/>
        </w:rPr>
      </w:pPr>
      <w:r w:rsidRPr="00914E09">
        <w:rPr>
          <w:lang w:val="en-US"/>
        </w:rPr>
        <w:t>Root Cause Analysis must be undertaken to identify lessons to be learnt.</w:t>
      </w:r>
    </w:p>
    <w:p w14:paraId="22DD953A" w14:textId="77777777" w:rsidR="002E006F" w:rsidRPr="002E006F" w:rsidRDefault="002E006F" w:rsidP="002E006F">
      <w:pPr>
        <w:rPr>
          <w:lang w:val="en-US"/>
        </w:rPr>
      </w:pPr>
    </w:p>
    <w:p w14:paraId="29B28C5E" w14:textId="07A3F5C2" w:rsidR="002E006F" w:rsidRPr="002E006F" w:rsidRDefault="002E006F" w:rsidP="002E006F">
      <w:pPr>
        <w:rPr>
          <w:lang w:val="en-US"/>
        </w:rPr>
      </w:pPr>
      <w:r w:rsidRPr="002E006F">
        <w:rPr>
          <w:lang w:val="en-US"/>
        </w:rPr>
        <w:t xml:space="preserve">The provider must - Perform Root Cause Analysis of all confirmed cases of pulmonary embolism and deep vein thrombosis both arising during a current hospital stay and where there is a history of hospital admission within the last 3 months, but NOT in respect of Service Users admitted to hospital with a confirmed venous thromboembolism but no history of an admission to hospital within the last 3 months.  Addition of mandatory reporting of hospital attributed VTE to meet </w:t>
      </w:r>
      <w:hyperlink r:id="rId16" w:history="1">
        <w:r w:rsidRPr="002E006F">
          <w:rPr>
            <w:rStyle w:val="Hyperlink"/>
            <w:lang w:val="en-US"/>
          </w:rPr>
          <w:t>Service Condition 22 of the NHS Contract 2016/19</w:t>
        </w:r>
      </w:hyperlink>
      <w:sdt>
        <w:sdtPr>
          <w:id w:val="-1084374838"/>
          <w:citation/>
        </w:sdtPr>
        <w:sdtEndPr/>
        <w:sdtContent>
          <w:r w:rsidR="00465FA1">
            <w:fldChar w:fldCharType="begin"/>
          </w:r>
          <w:r w:rsidR="009233AA">
            <w:instrText xml:space="preserve">CITATION NHS201 \l 2057 </w:instrText>
          </w:r>
          <w:r w:rsidR="00465FA1">
            <w:fldChar w:fldCharType="separate"/>
          </w:r>
          <w:r w:rsidR="009233AA">
            <w:rPr>
              <w:noProof/>
            </w:rPr>
            <w:t xml:space="preserve"> (5)</w:t>
          </w:r>
          <w:r w:rsidR="00465FA1">
            <w:fldChar w:fldCharType="end"/>
          </w:r>
        </w:sdtContent>
      </w:sdt>
      <w:r w:rsidRPr="002E006F">
        <w:rPr>
          <w:lang w:val="en-US"/>
        </w:rPr>
        <w:t>.</w:t>
      </w:r>
    </w:p>
    <w:p w14:paraId="41BFB1C3" w14:textId="77777777" w:rsidR="002E006F" w:rsidRPr="002E006F" w:rsidRDefault="002E006F" w:rsidP="002E006F">
      <w:pPr>
        <w:rPr>
          <w:lang w:val="en-US"/>
        </w:rPr>
      </w:pPr>
    </w:p>
    <w:p w14:paraId="721367D8" w14:textId="5C3B774E" w:rsidR="002E006F" w:rsidRPr="002E006F" w:rsidRDefault="002E006F" w:rsidP="002E006F">
      <w:pPr>
        <w:pStyle w:val="Heading2"/>
        <w:rPr>
          <w:lang w:val="en-US"/>
        </w:rPr>
      </w:pPr>
      <w:bookmarkStart w:id="60" w:name="_Toc535239229"/>
      <w:bookmarkStart w:id="61" w:name="_Toc8738287"/>
      <w:bookmarkStart w:id="62" w:name="_Toc184025138"/>
      <w:r w:rsidRPr="002E006F">
        <w:rPr>
          <w:lang w:val="en-US"/>
        </w:rPr>
        <w:t xml:space="preserve">Recording VTE or Hospital attributed VTE within the </w:t>
      </w:r>
      <w:r w:rsidR="00465FA1" w:rsidRPr="002E006F">
        <w:rPr>
          <w:lang w:val="en-US"/>
        </w:rPr>
        <w:t>patient’s</w:t>
      </w:r>
      <w:r w:rsidRPr="002E006F">
        <w:rPr>
          <w:lang w:val="en-US"/>
        </w:rPr>
        <w:t xml:space="preserve"> records</w:t>
      </w:r>
      <w:bookmarkEnd w:id="60"/>
      <w:bookmarkEnd w:id="61"/>
      <w:bookmarkEnd w:id="62"/>
      <w:r w:rsidRPr="002E006F">
        <w:rPr>
          <w:lang w:val="en-US"/>
        </w:rPr>
        <w:t xml:space="preserve"> </w:t>
      </w:r>
    </w:p>
    <w:p w14:paraId="6D83B9C9" w14:textId="77777777" w:rsidR="002E006F" w:rsidRPr="002E006F" w:rsidRDefault="002E006F" w:rsidP="002E006F">
      <w:pPr>
        <w:rPr>
          <w:lang w:val="en-US"/>
        </w:rPr>
      </w:pPr>
    </w:p>
    <w:p w14:paraId="4C0CC18A" w14:textId="77777777" w:rsidR="00914E09" w:rsidRPr="00914E09" w:rsidRDefault="00914E09" w:rsidP="00914E09">
      <w:pPr>
        <w:rPr>
          <w:lang w:val="en-US"/>
        </w:rPr>
      </w:pPr>
      <w:r w:rsidRPr="00914E09">
        <w:rPr>
          <w:lang w:val="en-US"/>
        </w:rPr>
        <w:t xml:space="preserve">When patients present to hospital with a confirmed VTE, the clerking clinician must determine if there is evidence of a previous hospital admission within a period of 90 days.   Where admission is </w:t>
      </w:r>
      <w:proofErr w:type="gramStart"/>
      <w:r w:rsidRPr="00914E09">
        <w:rPr>
          <w:lang w:val="en-US"/>
        </w:rPr>
        <w:t>confirmed</w:t>
      </w:r>
      <w:proofErr w:type="gramEnd"/>
      <w:r w:rsidRPr="00914E09">
        <w:rPr>
          <w:lang w:val="en-US"/>
        </w:rPr>
        <w:t xml:space="preserve"> a record must be made in the </w:t>
      </w:r>
      <w:proofErr w:type="gramStart"/>
      <w:r w:rsidRPr="00914E09">
        <w:rPr>
          <w:lang w:val="en-US"/>
        </w:rPr>
        <w:t>patients</w:t>
      </w:r>
      <w:proofErr w:type="gramEnd"/>
      <w:r w:rsidRPr="00914E09">
        <w:rPr>
          <w:lang w:val="en-US"/>
        </w:rPr>
        <w:t xml:space="preserve"> clerking history for accurate coding purposes. </w:t>
      </w:r>
    </w:p>
    <w:p w14:paraId="2069B336" w14:textId="77777777" w:rsidR="00914E09" w:rsidRPr="00914E09" w:rsidRDefault="00914E09" w:rsidP="00914E09">
      <w:pPr>
        <w:rPr>
          <w:lang w:val="en-US"/>
        </w:rPr>
      </w:pPr>
    </w:p>
    <w:p w14:paraId="120CDD8F" w14:textId="2EFA1043" w:rsidR="00914E09" w:rsidRPr="00914E09" w:rsidRDefault="00914E09" w:rsidP="00914E09">
      <w:pPr>
        <w:rPr>
          <w:lang w:val="en-US"/>
        </w:rPr>
      </w:pPr>
      <w:r w:rsidRPr="00914E09">
        <w:rPr>
          <w:lang w:val="en-US"/>
        </w:rPr>
        <w:t xml:space="preserve">Examples could be – </w:t>
      </w:r>
      <w:r w:rsidR="009233AA">
        <w:rPr>
          <w:lang w:val="en-US"/>
        </w:rPr>
        <w:br/>
      </w:r>
      <w:r w:rsidRPr="00914E09">
        <w:rPr>
          <w:lang w:val="en-US"/>
        </w:rPr>
        <w:t>Confirmed VTE (location / type) with previous admission within 90-</w:t>
      </w:r>
      <w:r w:rsidR="00A152AC" w:rsidRPr="00914E09">
        <w:rPr>
          <w:lang w:val="en-US"/>
        </w:rPr>
        <w:t>days.</w:t>
      </w:r>
    </w:p>
    <w:p w14:paraId="2EF367DC" w14:textId="77777777" w:rsidR="002E006F" w:rsidRPr="002E006F" w:rsidRDefault="002E006F" w:rsidP="002E006F">
      <w:pPr>
        <w:rPr>
          <w:lang w:val="en-US"/>
        </w:rPr>
      </w:pPr>
    </w:p>
    <w:p w14:paraId="2D138385" w14:textId="77777777" w:rsidR="002E006F" w:rsidRPr="002E006F" w:rsidRDefault="002E006F" w:rsidP="002E006F">
      <w:pPr>
        <w:pStyle w:val="Heading2"/>
        <w:rPr>
          <w:lang w:val="en-US"/>
        </w:rPr>
      </w:pPr>
      <w:bookmarkStart w:id="63" w:name="_Toc535239230"/>
      <w:bookmarkStart w:id="64" w:name="_Toc8738288"/>
      <w:bookmarkStart w:id="65" w:name="_Toc184025139"/>
      <w:r w:rsidRPr="002E006F">
        <w:rPr>
          <w:lang w:val="en-US"/>
        </w:rPr>
        <w:t>Audit inclusion / exclusion criteria</w:t>
      </w:r>
      <w:bookmarkEnd w:id="63"/>
      <w:bookmarkEnd w:id="64"/>
      <w:bookmarkEnd w:id="65"/>
      <w:r w:rsidRPr="002E006F">
        <w:rPr>
          <w:lang w:val="en-US"/>
        </w:rPr>
        <w:t xml:space="preserve"> </w:t>
      </w:r>
    </w:p>
    <w:p w14:paraId="60A94707" w14:textId="77777777" w:rsidR="002E006F" w:rsidRPr="002E006F" w:rsidRDefault="002E006F" w:rsidP="002E006F">
      <w:pPr>
        <w:rPr>
          <w:lang w:val="en-US"/>
        </w:rPr>
      </w:pPr>
    </w:p>
    <w:p w14:paraId="5916BCD8" w14:textId="23541D72" w:rsidR="002E006F" w:rsidRPr="002E006F" w:rsidRDefault="002E006F" w:rsidP="002E006F">
      <w:pPr>
        <w:rPr>
          <w:lang w:val="en-US"/>
        </w:rPr>
      </w:pPr>
      <w:hyperlink r:id="rId17" w:history="1">
        <w:r w:rsidRPr="002E006F">
          <w:rPr>
            <w:rStyle w:val="Hyperlink"/>
            <w:lang w:val="en-US"/>
          </w:rPr>
          <w:t>As per NHS Standard Contract 2017/16 and 2016/19 Service Conditions (NHSI Jan 2016)</w:t>
        </w:r>
      </w:hyperlink>
      <w:r w:rsidRPr="002E006F">
        <w:rPr>
          <w:lang w:val="en-US"/>
        </w:rPr>
        <w:t xml:space="preserve"> </w:t>
      </w:r>
      <w:sdt>
        <w:sdtPr>
          <w:rPr>
            <w:lang w:val="en-US"/>
          </w:rPr>
          <w:id w:val="-789428610"/>
          <w:citation/>
        </w:sdtPr>
        <w:sdtEndPr/>
        <w:sdtContent>
          <w:r w:rsidR="00FE131E">
            <w:rPr>
              <w:lang w:val="en-US"/>
            </w:rPr>
            <w:fldChar w:fldCharType="begin"/>
          </w:r>
          <w:r w:rsidR="00FE131E">
            <w:instrText xml:space="preserve"> CITATION NHS201 \l 2057 </w:instrText>
          </w:r>
          <w:r w:rsidR="00FE131E">
            <w:rPr>
              <w:lang w:val="en-US"/>
            </w:rPr>
            <w:fldChar w:fldCharType="separate"/>
          </w:r>
          <w:r w:rsidR="00FE131E">
            <w:rPr>
              <w:noProof/>
            </w:rPr>
            <w:t>(5)</w:t>
          </w:r>
          <w:r w:rsidR="00FE131E">
            <w:rPr>
              <w:lang w:val="en-US"/>
            </w:rPr>
            <w:fldChar w:fldCharType="end"/>
          </w:r>
        </w:sdtContent>
      </w:sdt>
      <w:r w:rsidR="00FE131E">
        <w:rPr>
          <w:lang w:val="en-US"/>
        </w:rPr>
        <w:t xml:space="preserve"> </w:t>
      </w:r>
      <w:r w:rsidRPr="002E006F">
        <w:rPr>
          <w:lang w:val="en-US"/>
        </w:rPr>
        <w:t xml:space="preserve">the Trust is required </w:t>
      </w:r>
      <w:r w:rsidR="00524EEE" w:rsidRPr="002E006F">
        <w:rPr>
          <w:lang w:val="en-US"/>
        </w:rPr>
        <w:t>to ensure</w:t>
      </w:r>
      <w:r w:rsidRPr="002E006F">
        <w:rPr>
          <w:lang w:val="en-US"/>
        </w:rPr>
        <w:t xml:space="preserve"> and quantify the numbers and proportion of adult hospital admissions – aged 16 and over – who are being risk assessed for venous thromboembolism (VTE) to allow for appropriate prophylaxis to be given based on national guidance from NICE.  This data collection started in June 2010 and is mandatory (RoCR number: ROCR/OR/0276/FT6/000MAND).</w:t>
      </w:r>
    </w:p>
    <w:p w14:paraId="58579A7C" w14:textId="77777777" w:rsidR="002E006F" w:rsidRPr="002E006F" w:rsidRDefault="002E006F" w:rsidP="002E006F">
      <w:pPr>
        <w:rPr>
          <w:lang w:val="en-US"/>
        </w:rPr>
      </w:pPr>
    </w:p>
    <w:p w14:paraId="33CE7617" w14:textId="77777777" w:rsidR="002E006F" w:rsidRPr="002E006F" w:rsidRDefault="002E006F" w:rsidP="002E006F">
      <w:pPr>
        <w:rPr>
          <w:lang w:val="en-US"/>
        </w:rPr>
      </w:pPr>
      <w:r w:rsidRPr="002E006F">
        <w:rPr>
          <w:lang w:val="en-US"/>
        </w:rPr>
        <w:t xml:space="preserve">Local agreement has concluded that in exceptional circumstances adjustments will be made in the following areas  </w:t>
      </w:r>
    </w:p>
    <w:p w14:paraId="1295318A" w14:textId="77777777" w:rsidR="002E006F" w:rsidRPr="002E006F" w:rsidRDefault="002E006F" w:rsidP="002E006F">
      <w:pPr>
        <w:rPr>
          <w:lang w:val="en-US"/>
        </w:rPr>
      </w:pPr>
    </w:p>
    <w:p w14:paraId="009A452B" w14:textId="77777777" w:rsidR="002E006F" w:rsidRPr="002E006F" w:rsidRDefault="002E006F" w:rsidP="002E006F">
      <w:pPr>
        <w:rPr>
          <w:lang w:val="en-US"/>
        </w:rPr>
      </w:pPr>
      <w:r w:rsidRPr="002E006F">
        <w:rPr>
          <w:lang w:val="en-US"/>
        </w:rPr>
        <w:t xml:space="preserve">All patients admitted to hospital aged 16 years and older – will be included in the audit unless meeting any of the </w:t>
      </w:r>
      <w:proofErr w:type="gramStart"/>
      <w:r w:rsidRPr="002E006F">
        <w:rPr>
          <w:lang w:val="en-US"/>
        </w:rPr>
        <w:t>below:-</w:t>
      </w:r>
      <w:proofErr w:type="gramEnd"/>
    </w:p>
    <w:p w14:paraId="395C216B" w14:textId="77777777" w:rsidR="002E006F" w:rsidRPr="002E006F" w:rsidRDefault="002E006F" w:rsidP="002E006F">
      <w:pPr>
        <w:rPr>
          <w:lang w:val="en-US"/>
        </w:rPr>
      </w:pPr>
    </w:p>
    <w:p w14:paraId="45636977" w14:textId="77777777" w:rsidR="00914E09" w:rsidRPr="00914E09" w:rsidRDefault="00914E09" w:rsidP="008622E1">
      <w:pPr>
        <w:pStyle w:val="BulletLevel1"/>
        <w:rPr>
          <w:lang w:val="en-US"/>
        </w:rPr>
      </w:pPr>
      <w:r w:rsidRPr="00914E09">
        <w:rPr>
          <w:lang w:val="en-US"/>
        </w:rPr>
        <w:t>Patients presenting to hospital with a diagnosis or signs and symptoms of deep vein thrombosis (</w:t>
      </w:r>
      <w:proofErr w:type="gramStart"/>
      <w:r w:rsidRPr="00914E09">
        <w:rPr>
          <w:lang w:val="en-US"/>
        </w:rPr>
        <w:t>DVT )</w:t>
      </w:r>
      <w:proofErr w:type="gramEnd"/>
      <w:r w:rsidRPr="00914E09">
        <w:rPr>
          <w:lang w:val="en-US"/>
        </w:rPr>
        <w:t xml:space="preserve"> or pulmonary embolism (PE) – These patients will be excluded by the clinical audit team where there is documented </w:t>
      </w:r>
      <w:proofErr w:type="gramStart"/>
      <w:r w:rsidRPr="00914E09">
        <w:rPr>
          <w:lang w:val="en-US"/>
        </w:rPr>
        <w:t>evidence  stating</w:t>
      </w:r>
      <w:proofErr w:type="gramEnd"/>
      <w:r w:rsidRPr="00914E09">
        <w:rPr>
          <w:lang w:val="en-US"/>
        </w:rPr>
        <w:t xml:space="preserve"> previous DVT / PE or suspicions of DVT / PE on admission </w:t>
      </w:r>
    </w:p>
    <w:p w14:paraId="11D1C16A" w14:textId="4C9A6183" w:rsidR="00914E09" w:rsidRPr="00914E09" w:rsidRDefault="00914E09" w:rsidP="008622E1">
      <w:pPr>
        <w:pStyle w:val="BulletLevel1"/>
        <w:rPr>
          <w:lang w:val="en-US"/>
        </w:rPr>
      </w:pPr>
      <w:r w:rsidRPr="00914E09">
        <w:rPr>
          <w:b/>
          <w:lang w:val="en-US"/>
        </w:rPr>
        <w:t>Day Case Patients</w:t>
      </w:r>
      <w:r w:rsidRPr="00914E09">
        <w:rPr>
          <w:lang w:val="en-US"/>
        </w:rPr>
        <w:t xml:space="preserve"> – Primary assessment must be undertaken at pre-op assessment – secondary assessment must be undertaken on day of admission for the procedure usually by a Senior professional, confirmation of no changes or actions </w:t>
      </w:r>
      <w:r w:rsidRPr="00914E09">
        <w:rPr>
          <w:lang w:val="en-US"/>
        </w:rPr>
        <w:lastRenderedPageBreak/>
        <w:t xml:space="preserve">taken resulting in changes since primary assessment must be recorded within the VTE risk assessment form or the patients’ health record.  </w:t>
      </w:r>
    </w:p>
    <w:p w14:paraId="354A2657" w14:textId="7FC4896E" w:rsidR="002E006F" w:rsidRPr="002E006F" w:rsidRDefault="002E006F" w:rsidP="7D884800">
      <w:pPr>
        <w:pStyle w:val="BulletLevel1"/>
      </w:pPr>
      <w:r w:rsidRPr="7D884800">
        <w:rPr>
          <w:b/>
        </w:rPr>
        <w:t>Patients admitted for a period less than 24 hours</w:t>
      </w:r>
      <w:r w:rsidRPr="7D884800">
        <w:t xml:space="preserve"> – </w:t>
      </w:r>
      <w:r w:rsidR="00914E09" w:rsidRPr="7D884800">
        <w:t>Where patients are in-patients for a period of less than 24 hours the primary assessment will be included in the audit</w:t>
      </w:r>
      <w:r w:rsidRPr="7D884800">
        <w:t xml:space="preserve">.  </w:t>
      </w:r>
    </w:p>
    <w:p w14:paraId="78AD9F89" w14:textId="0707096E" w:rsidR="002E006F" w:rsidRPr="002E006F" w:rsidRDefault="002E006F" w:rsidP="008622E1">
      <w:pPr>
        <w:pStyle w:val="BulletLevel1"/>
        <w:rPr>
          <w:lang w:val="en-US"/>
        </w:rPr>
      </w:pPr>
      <w:r w:rsidRPr="002E006F">
        <w:rPr>
          <w:b/>
          <w:lang w:val="en-US"/>
        </w:rPr>
        <w:t>Maternity</w:t>
      </w:r>
      <w:r w:rsidRPr="002E006F">
        <w:rPr>
          <w:lang w:val="en-US"/>
        </w:rPr>
        <w:t xml:space="preserve"> – See </w:t>
      </w:r>
      <w:hyperlink r:id="rId18" w:history="1">
        <w:r w:rsidRPr="009975B8">
          <w:rPr>
            <w:rStyle w:val="Hyperlink"/>
            <w:lang w:val="en-US"/>
          </w:rPr>
          <w:t xml:space="preserve">OBS/GYNAE/GUID/103 </w:t>
        </w:r>
      </w:hyperlink>
      <w:r w:rsidRPr="002E006F">
        <w:rPr>
          <w:lang w:val="en-US"/>
        </w:rPr>
        <w:t>Venous Thromboembolism - Antenatal, Intrapartum and Postnatal Risk Assessments and Prophylaxis</w:t>
      </w:r>
      <w:sdt>
        <w:sdtPr>
          <w:rPr>
            <w:lang w:val="en-US"/>
          </w:rPr>
          <w:id w:val="-2019535058"/>
          <w:citation/>
        </w:sdtPr>
        <w:sdtEndPr/>
        <w:sdtContent>
          <w:r w:rsidR="00524EEE">
            <w:rPr>
              <w:lang w:val="en-US"/>
            </w:rPr>
            <w:fldChar w:fldCharType="begin"/>
          </w:r>
          <w:r w:rsidR="00613AE3">
            <w:instrText xml:space="preserve">CITATION BTH1978 \l 2057 </w:instrText>
          </w:r>
          <w:r w:rsidR="00524EEE">
            <w:rPr>
              <w:lang w:val="en-US"/>
            </w:rPr>
            <w:fldChar w:fldCharType="separate"/>
          </w:r>
          <w:r w:rsidR="009233AA">
            <w:rPr>
              <w:noProof/>
            </w:rPr>
            <w:t xml:space="preserve"> (2)</w:t>
          </w:r>
          <w:r w:rsidR="00524EEE">
            <w:rPr>
              <w:lang w:val="en-US"/>
            </w:rPr>
            <w:fldChar w:fldCharType="end"/>
          </w:r>
        </w:sdtContent>
      </w:sdt>
      <w:r w:rsidRPr="002E006F">
        <w:rPr>
          <w:lang w:val="en-US"/>
        </w:rPr>
        <w:t>) Primary assessment will be undertaken by a midwife / D</w:t>
      </w:r>
      <w:r w:rsidR="00914E09">
        <w:rPr>
          <w:lang w:val="en-US"/>
        </w:rPr>
        <w:t>octor</w:t>
      </w:r>
      <w:r w:rsidRPr="002E006F">
        <w:rPr>
          <w:lang w:val="en-US"/>
        </w:rPr>
        <w:t xml:space="preserve"> at antenatal appointment and then the secondary assessment is undertaken as soon as possible (within the first hour post-</w:t>
      </w:r>
      <w:r w:rsidR="00914E09" w:rsidRPr="002E006F">
        <w:rPr>
          <w:lang w:val="en-US"/>
        </w:rPr>
        <w:t>delivery)</w:t>
      </w:r>
      <w:r w:rsidRPr="002E006F">
        <w:rPr>
          <w:lang w:val="en-US"/>
        </w:rPr>
        <w:t xml:space="preserve"> </w:t>
      </w:r>
    </w:p>
    <w:p w14:paraId="37CE32FF" w14:textId="3514DC74" w:rsidR="002E006F" w:rsidRPr="002E006F" w:rsidRDefault="002E006F" w:rsidP="008622E1">
      <w:pPr>
        <w:pStyle w:val="BulletLevel1"/>
        <w:rPr>
          <w:lang w:val="en-US"/>
        </w:rPr>
      </w:pPr>
      <w:r w:rsidRPr="002E006F">
        <w:rPr>
          <w:b/>
          <w:lang w:val="en-US"/>
        </w:rPr>
        <w:t>Haematology</w:t>
      </w:r>
      <w:r w:rsidRPr="002E006F">
        <w:rPr>
          <w:lang w:val="en-US"/>
        </w:rPr>
        <w:t xml:space="preserve"> </w:t>
      </w:r>
      <w:r w:rsidR="00524EEE" w:rsidRPr="002E006F">
        <w:rPr>
          <w:lang w:val="en-US"/>
        </w:rPr>
        <w:t>- All</w:t>
      </w:r>
      <w:r w:rsidRPr="002E006F">
        <w:rPr>
          <w:lang w:val="en-US"/>
        </w:rPr>
        <w:t xml:space="preserve"> patients will be included in the audit unless identified on the VTE risk assessment documentation</w:t>
      </w:r>
    </w:p>
    <w:p w14:paraId="4B33D797" w14:textId="1B552A75" w:rsidR="000820A8" w:rsidRDefault="000820A8" w:rsidP="002E006F"/>
    <w:p w14:paraId="0EABAB0C" w14:textId="32398DE9" w:rsidR="00C80DB3" w:rsidRPr="00C40351" w:rsidRDefault="00C80DB3" w:rsidP="00C80DB3">
      <w:pPr>
        <w:pStyle w:val="Heading1"/>
      </w:pPr>
      <w:bookmarkStart w:id="66" w:name="_Toc184025140"/>
      <w:r>
        <w:t>References and Associated Documents</w:t>
      </w:r>
      <w:bookmarkEnd w:id="66"/>
    </w:p>
    <w:p w14:paraId="6ACD9491" w14:textId="77777777" w:rsidR="00C80DB3" w:rsidRDefault="00C80DB3" w:rsidP="00C80DB3">
      <w:pPr>
        <w:pStyle w:val="BodyText2"/>
        <w:rPr>
          <w:rFonts w:cs="Arial"/>
          <w:szCs w:val="24"/>
          <w:lang w:val="en-US"/>
        </w:rPr>
      </w:pPr>
    </w:p>
    <w:p w14:paraId="1FD13980" w14:textId="38C81A8B" w:rsidR="000A399C" w:rsidRDefault="000A399C" w:rsidP="00C80DB3">
      <w:pPr>
        <w:pStyle w:val="BodyText2"/>
        <w:rPr>
          <w:rFonts w:cs="Arial"/>
          <w:szCs w:val="24"/>
          <w:lang w:val="en-US"/>
        </w:rPr>
      </w:pPr>
      <w:r w:rsidRPr="000A399C">
        <w:rPr>
          <w:rFonts w:cs="Arial"/>
          <w:szCs w:val="24"/>
          <w:lang w:val="en-US"/>
        </w:rPr>
        <w:t>13. Dr Henry Watson, Simon Davidson, David Keeling. Guidelines on the diagnosis and management of heparin-induced thrombocytopenia: second edition. BJHaem. Volume 159, Issue 5, Page 528 - 540. [Online] 09 10 2012. [Cited: 11 10 2021.] https://onlinelibrary.wiley.com/doi/full/10.1111/bjh.12059</w:t>
      </w:r>
    </w:p>
    <w:p w14:paraId="7A17D0A6" w14:textId="77777777" w:rsidR="000A399C" w:rsidRDefault="000A399C" w:rsidP="00C80DB3">
      <w:pPr>
        <w:pStyle w:val="BodyText2"/>
        <w:rPr>
          <w:rFonts w:cs="Arial"/>
          <w:szCs w:val="24"/>
          <w:lang w:val="en-US"/>
        </w:rPr>
      </w:pPr>
    </w:p>
    <w:p w14:paraId="5348C062" w14:textId="77777777" w:rsidR="009233AA" w:rsidRDefault="002E006F" w:rsidP="009233AA">
      <w:pPr>
        <w:pStyle w:val="Bibliography"/>
        <w:rPr>
          <w:noProof/>
          <w:szCs w:val="24"/>
        </w:rPr>
      </w:pPr>
      <w:r w:rsidRPr="002E006F">
        <w:rPr>
          <w:rFonts w:cs="Arial"/>
          <w:szCs w:val="24"/>
          <w:lang w:val="en-US"/>
        </w:rPr>
        <w:fldChar w:fldCharType="begin"/>
      </w:r>
      <w:r w:rsidRPr="002E006F">
        <w:rPr>
          <w:rFonts w:cs="Arial"/>
          <w:szCs w:val="24"/>
        </w:rPr>
        <w:instrText xml:space="preserve"> BIBLIOGRAPHY  \l 2057 </w:instrText>
      </w:r>
      <w:r w:rsidRPr="002E006F">
        <w:rPr>
          <w:rFonts w:cs="Arial"/>
          <w:szCs w:val="24"/>
          <w:lang w:val="en-US"/>
        </w:rPr>
        <w:fldChar w:fldCharType="separate"/>
      </w:r>
      <w:r w:rsidR="009233AA">
        <w:rPr>
          <w:noProof/>
        </w:rPr>
        <w:t xml:space="preserve">1. </w:t>
      </w:r>
      <w:r w:rsidR="009233AA">
        <w:rPr>
          <w:b/>
          <w:bCs w:val="0"/>
          <w:noProof/>
        </w:rPr>
        <w:t>NICE.</w:t>
      </w:r>
      <w:r w:rsidR="009233AA">
        <w:rPr>
          <w:noProof/>
        </w:rPr>
        <w:t xml:space="preserve"> Venous thromboembolism in over 16s: reducing the risk of hospital-acquired deep vein thrombosis or pulmonary embolism. [Online] Last updated: 13 August 2019. [Cited: 27 08 2024.] https://www.nice.org.uk/guidance/ng89. NICE guideline [NG89].</w:t>
      </w:r>
    </w:p>
    <w:p w14:paraId="29094672" w14:textId="77777777" w:rsidR="009233AA" w:rsidRDefault="009233AA" w:rsidP="009233AA">
      <w:pPr>
        <w:pStyle w:val="Bibliography"/>
        <w:rPr>
          <w:noProof/>
        </w:rPr>
      </w:pPr>
      <w:r>
        <w:rPr>
          <w:noProof/>
        </w:rPr>
        <w:t xml:space="preserve">2. </w:t>
      </w:r>
      <w:r>
        <w:rPr>
          <w:b/>
          <w:bCs w:val="0"/>
          <w:noProof/>
        </w:rPr>
        <w:t>BTHFT - Guideline.</w:t>
      </w:r>
      <w:r>
        <w:rPr>
          <w:noProof/>
        </w:rPr>
        <w:t xml:space="preserve"> Venous Thromboembolism - Antenatal, Intrapartum and Postnatal Risk Assessments and Prophylaxis (including COVID-19). [Online] 24 08 2022. [Cited: 27 08 2024.] http://fcsp.xfyldecoast.nhs.uk/trustdocuments/Documents/OBS-GYNAE-GUID-103.docx. OBS/GYNAE/GUID/103.</w:t>
      </w:r>
    </w:p>
    <w:p w14:paraId="63E04AE5" w14:textId="77777777" w:rsidR="009233AA" w:rsidRDefault="009233AA" w:rsidP="009233AA">
      <w:pPr>
        <w:pStyle w:val="Bibliography"/>
        <w:rPr>
          <w:noProof/>
        </w:rPr>
      </w:pPr>
      <w:r>
        <w:rPr>
          <w:noProof/>
        </w:rPr>
        <w:t xml:space="preserve">3. </w:t>
      </w:r>
      <w:r>
        <w:rPr>
          <w:b/>
          <w:bCs w:val="0"/>
          <w:noProof/>
        </w:rPr>
        <w:t>BTHFT - Form.</w:t>
      </w:r>
      <w:r>
        <w:rPr>
          <w:noProof/>
        </w:rPr>
        <w:t xml:space="preserve"> Admission Documentation Inpatient- Medical / Surgical Patient. [Online] 02 01 2024. [Cited: 27 08 2024.] http://fcsp.xfyldecoast.nhs.uk/H/HealthRecordsLibrary/Documents/217300_BLA_VS243_R2_PROOF1%20(003).pdf. VS243.</w:t>
      </w:r>
    </w:p>
    <w:p w14:paraId="2EA617F9" w14:textId="77777777" w:rsidR="009233AA" w:rsidRDefault="009233AA" w:rsidP="009233AA">
      <w:pPr>
        <w:pStyle w:val="Bibliography"/>
        <w:rPr>
          <w:noProof/>
        </w:rPr>
      </w:pPr>
      <w:r>
        <w:rPr>
          <w:noProof/>
        </w:rPr>
        <w:t xml:space="preserve">4. </w:t>
      </w:r>
      <w:r>
        <w:rPr>
          <w:b/>
          <w:bCs w:val="0"/>
          <w:noProof/>
        </w:rPr>
        <w:t>BTHFT - Leaflet.</w:t>
      </w:r>
      <w:r>
        <w:rPr>
          <w:noProof/>
        </w:rPr>
        <w:t xml:space="preserve"> How to help keep yourself safe. [Online] 11 01 2023. [Cited: 27 08 2024.] http://fcsp.xfyldecoast.nhs.uk/trustdocuments/Information%20Leaflets/PL1005.pdf. PL/1005.</w:t>
      </w:r>
    </w:p>
    <w:p w14:paraId="34F26AB3" w14:textId="77777777" w:rsidR="009233AA" w:rsidRDefault="009233AA" w:rsidP="009233AA">
      <w:pPr>
        <w:pStyle w:val="Bibliography"/>
        <w:rPr>
          <w:noProof/>
        </w:rPr>
      </w:pPr>
      <w:r>
        <w:rPr>
          <w:noProof/>
        </w:rPr>
        <w:t xml:space="preserve">5. </w:t>
      </w:r>
      <w:r>
        <w:rPr>
          <w:b/>
          <w:bCs w:val="0"/>
          <w:noProof/>
        </w:rPr>
        <w:t>NHS England.</w:t>
      </w:r>
      <w:r>
        <w:rPr>
          <w:noProof/>
        </w:rPr>
        <w:t xml:space="preserve"> NHS Standard Contract. [Online] [Cited: 27 08 2024.] https://www.england.nhs.uk/nhs-standard-contract/.</w:t>
      </w:r>
    </w:p>
    <w:p w14:paraId="52F41431" w14:textId="77777777" w:rsidR="009233AA" w:rsidRDefault="009233AA" w:rsidP="009233AA">
      <w:pPr>
        <w:pStyle w:val="Bibliography"/>
        <w:rPr>
          <w:noProof/>
        </w:rPr>
      </w:pPr>
      <w:r>
        <w:rPr>
          <w:noProof/>
        </w:rPr>
        <w:t xml:space="preserve">6. </w:t>
      </w:r>
      <w:r>
        <w:rPr>
          <w:i/>
          <w:iCs/>
          <w:noProof/>
        </w:rPr>
        <w:t xml:space="preserve">What doses of thromboprophylaxis are appropriate for adult patients at extremes of body weight. </w:t>
      </w:r>
      <w:r>
        <w:rPr>
          <w:b/>
          <w:bCs w:val="0"/>
          <w:noProof/>
        </w:rPr>
        <w:t>UKCPA.</w:t>
      </w:r>
      <w:r>
        <w:rPr>
          <w:noProof/>
        </w:rPr>
        <w:t xml:space="preserve"> 2015, Medicine Q&amp;A, p. 362.2.</w:t>
      </w:r>
    </w:p>
    <w:p w14:paraId="78B77A5B" w14:textId="77777777" w:rsidR="009233AA" w:rsidRDefault="009233AA" w:rsidP="009233AA">
      <w:pPr>
        <w:pStyle w:val="Bibliography"/>
        <w:rPr>
          <w:noProof/>
        </w:rPr>
      </w:pPr>
      <w:r>
        <w:rPr>
          <w:noProof/>
        </w:rPr>
        <w:t xml:space="preserve">7. </w:t>
      </w:r>
      <w:r>
        <w:rPr>
          <w:b/>
          <w:bCs w:val="0"/>
          <w:noProof/>
        </w:rPr>
        <w:t>BTHFT - Policy.</w:t>
      </w:r>
      <w:r>
        <w:rPr>
          <w:noProof/>
        </w:rPr>
        <w:t xml:space="preserve"> Management of Incidents, Incorporating Serious Incidents. [Online] 22 12 2020. [Cited: 07 10 2021.] http://fcsp.xfyldecoast.nhs.uk/trustdocuments/Documents/CORP-POL-605.docx. CORP/POL/605.</w:t>
      </w:r>
    </w:p>
    <w:p w14:paraId="31DDFE1B" w14:textId="77777777" w:rsidR="009233AA" w:rsidRDefault="009233AA" w:rsidP="009233AA">
      <w:pPr>
        <w:pStyle w:val="Bibliography"/>
        <w:rPr>
          <w:noProof/>
        </w:rPr>
      </w:pPr>
      <w:r>
        <w:rPr>
          <w:noProof/>
        </w:rPr>
        <w:lastRenderedPageBreak/>
        <w:t>8. —. Trust and Local Induction. [Online] 08 01 2021. [Cited: 27 09 2021.] http://fcsp.xfyldecoast.nhs.uk/trustdocuments/Documents/CORP-POL-045.docx. CORP/POL/045.</w:t>
      </w:r>
    </w:p>
    <w:p w14:paraId="2C6A0DD4" w14:textId="77777777" w:rsidR="009233AA" w:rsidRDefault="009233AA" w:rsidP="009233AA">
      <w:pPr>
        <w:pStyle w:val="Bibliography"/>
        <w:rPr>
          <w:noProof/>
        </w:rPr>
      </w:pPr>
      <w:r>
        <w:rPr>
          <w:noProof/>
        </w:rPr>
        <w:t>9. —. Health Record – Life Cycle Management Policy . [Online] 11 12 2019. [Cited: 11 10 2021.] http://fcsp.xfyldecoast.nhs.uk/trustdocuments/Documents/CORP-POL-199.docx. CORP/POL/199.</w:t>
      </w:r>
    </w:p>
    <w:p w14:paraId="7BA14472" w14:textId="77777777" w:rsidR="009233AA" w:rsidRDefault="009233AA" w:rsidP="009233AA">
      <w:pPr>
        <w:pStyle w:val="Bibliography"/>
        <w:rPr>
          <w:noProof/>
        </w:rPr>
      </w:pPr>
      <w:r>
        <w:rPr>
          <w:noProof/>
        </w:rPr>
        <w:t xml:space="preserve">10. </w:t>
      </w:r>
      <w:r>
        <w:rPr>
          <w:b/>
          <w:bCs w:val="0"/>
          <w:noProof/>
        </w:rPr>
        <w:t>BTHFT - Procedure.</w:t>
      </w:r>
      <w:r>
        <w:rPr>
          <w:noProof/>
        </w:rPr>
        <w:t xml:space="preserve"> Dalteparin for Treatment of Venous Thromboembolism. [Online] 17 06 2021. [Cited: 11 10 2021.] http://fcsp.xfyldecoast.nhs.uk/trustdocuments/Documents/CORP-PROC-601.docx. CORP/PROC/601.</w:t>
      </w:r>
    </w:p>
    <w:p w14:paraId="74CBBFB9" w14:textId="77777777" w:rsidR="009233AA" w:rsidRDefault="009233AA" w:rsidP="009233AA">
      <w:pPr>
        <w:pStyle w:val="Bibliography"/>
        <w:rPr>
          <w:noProof/>
        </w:rPr>
      </w:pPr>
      <w:r>
        <w:rPr>
          <w:noProof/>
        </w:rPr>
        <w:t xml:space="preserve">11. </w:t>
      </w:r>
      <w:r>
        <w:rPr>
          <w:b/>
          <w:bCs w:val="0"/>
          <w:noProof/>
        </w:rPr>
        <w:t>NHS England.</w:t>
      </w:r>
      <w:r>
        <w:rPr>
          <w:noProof/>
        </w:rPr>
        <w:t xml:space="preserve"> Patient safety alert – Harm from using Low Molecular Weight Heparins when contraindicated. [Online] 19 01 2015. [Cited: 11 10 2021.] https://www.england.nhs.uk/2015/01/psa-heparins/.</w:t>
      </w:r>
    </w:p>
    <w:p w14:paraId="47871537" w14:textId="77777777" w:rsidR="009233AA" w:rsidRDefault="009233AA" w:rsidP="009233AA">
      <w:pPr>
        <w:pStyle w:val="Bibliography"/>
        <w:rPr>
          <w:noProof/>
        </w:rPr>
      </w:pPr>
      <w:r>
        <w:rPr>
          <w:noProof/>
        </w:rPr>
        <w:t xml:space="preserve">12. </w:t>
      </w:r>
      <w:r>
        <w:rPr>
          <w:b/>
          <w:bCs w:val="0"/>
          <w:noProof/>
        </w:rPr>
        <w:t>Geerts WH.</w:t>
      </w:r>
      <w:r>
        <w:rPr>
          <w:noProof/>
        </w:rPr>
        <w:t xml:space="preserve"> Prevention of Venous Thromboembolism: The Seventh American College of Chest Physicians Conference on Antithrombotic and Thrombolytic Therapy. </w:t>
      </w:r>
      <w:r>
        <w:rPr>
          <w:i/>
          <w:iCs/>
          <w:noProof/>
        </w:rPr>
        <w:t xml:space="preserve">Chest. 2004 Sep;126(3 Suppl):338S-400S. </w:t>
      </w:r>
      <w:r>
        <w:rPr>
          <w:noProof/>
        </w:rPr>
        <w:t>[Online] 2004. [Cited: 11 10 2021.] https://pubmed.ncbi.nlm.nih.gov/15383478/. PMID: 15383478 DOI: 10.1378/chest.126.3_suppl.338S.</w:t>
      </w:r>
    </w:p>
    <w:p w14:paraId="2445C64F" w14:textId="77777777" w:rsidR="009233AA" w:rsidRDefault="009233AA" w:rsidP="009233AA">
      <w:pPr>
        <w:pStyle w:val="Bibliography"/>
        <w:rPr>
          <w:noProof/>
        </w:rPr>
      </w:pPr>
      <w:bookmarkStart w:id="67" w:name="_Hlk175666072"/>
      <w:r>
        <w:rPr>
          <w:noProof/>
        </w:rPr>
        <w:t xml:space="preserve">13. </w:t>
      </w:r>
      <w:r>
        <w:rPr>
          <w:b/>
          <w:bCs w:val="0"/>
          <w:noProof/>
        </w:rPr>
        <w:t>Dr Henry Watson, Simon Davidson, David Keeling.</w:t>
      </w:r>
      <w:r>
        <w:rPr>
          <w:noProof/>
        </w:rPr>
        <w:t xml:space="preserve"> Guidelines on the diagnosis and management of heparin-induced thrombocytopenia: second edition. </w:t>
      </w:r>
      <w:r>
        <w:rPr>
          <w:i/>
          <w:iCs/>
          <w:noProof/>
        </w:rPr>
        <w:t xml:space="preserve">BJHaem. Volume 159, Issue 5, Page 528 - 540. </w:t>
      </w:r>
      <w:r>
        <w:rPr>
          <w:noProof/>
        </w:rPr>
        <w:t>[Online] 09 10 2012. [Cited: 11 10 2021.] https://onlinelibrary.wiley.com/doi/full/10.1111/bjh.12059</w:t>
      </w:r>
      <w:bookmarkEnd w:id="67"/>
      <w:r>
        <w:rPr>
          <w:noProof/>
        </w:rPr>
        <w:t>.</w:t>
      </w:r>
    </w:p>
    <w:p w14:paraId="6D4CB924" w14:textId="23D14BCA" w:rsidR="002E006F" w:rsidRDefault="002E006F" w:rsidP="009233AA">
      <w:pPr>
        <w:pStyle w:val="BodyText2"/>
        <w:rPr>
          <w:b/>
        </w:rPr>
      </w:pPr>
      <w:r w:rsidRPr="002E006F">
        <w:rPr>
          <w:rFonts w:cs="Arial"/>
          <w:szCs w:val="24"/>
          <w:lang w:val="en-US"/>
        </w:rPr>
        <w:fldChar w:fldCharType="end"/>
      </w:r>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E006F" w:rsidRPr="000C5CE6" w14:paraId="317FFFEB" w14:textId="77777777" w:rsidTr="000F61ED">
        <w:trPr>
          <w:tblHeader/>
          <w:jc w:val="center"/>
        </w:trPr>
        <w:tc>
          <w:tcPr>
            <w:tcW w:w="5000" w:type="pct"/>
          </w:tcPr>
          <w:p w14:paraId="04D9C5A5" w14:textId="7013F8E4" w:rsidR="002E006F" w:rsidRPr="000C5CE6" w:rsidRDefault="002E006F" w:rsidP="000F61ED">
            <w:pPr>
              <w:pStyle w:val="Appendix"/>
            </w:pPr>
            <w:bookmarkStart w:id="68" w:name="_Toc535239239"/>
            <w:bookmarkStart w:id="69" w:name="_Toc8738289"/>
            <w:bookmarkStart w:id="70" w:name="_Toc184025141"/>
            <w:r w:rsidRPr="000C5CE6">
              <w:lastRenderedPageBreak/>
              <w:t xml:space="preserve">Appendix 1: </w:t>
            </w:r>
            <w:bookmarkStart w:id="71" w:name="App1Form"/>
            <w:r w:rsidR="001E67B9">
              <w:fldChar w:fldCharType="begin"/>
            </w:r>
            <w:r w:rsidR="001E67B9">
              <w:instrText>HYPERLINK "http://fcsp.xfyldecoast.nhs.uk/H/HealthRecordsLibrary/Documents/217300_BLA_VS243_R2_PROOF1%20(003).pdf"</w:instrText>
            </w:r>
            <w:r w:rsidR="001E67B9">
              <w:fldChar w:fldCharType="separate"/>
            </w:r>
            <w:r w:rsidRPr="001E67B9">
              <w:rPr>
                <w:rStyle w:val="Hyperlink"/>
              </w:rPr>
              <w:t>Admission Documentation – Inpatient – Medical / Surgical Patient</w:t>
            </w:r>
            <w:bookmarkEnd w:id="68"/>
            <w:bookmarkEnd w:id="69"/>
            <w:r w:rsidR="001E67B9">
              <w:fldChar w:fldCharType="end"/>
            </w:r>
            <w:bookmarkEnd w:id="71"/>
            <w:sdt>
              <w:sdtPr>
                <w:id w:val="1047569669"/>
                <w:citation/>
              </w:sdtPr>
              <w:sdtEndPr/>
              <w:sdtContent>
                <w:r w:rsidR="004D12A4">
                  <w:fldChar w:fldCharType="begin"/>
                </w:r>
                <w:r w:rsidR="004D12A4">
                  <w:instrText xml:space="preserve"> CITATION BTH1841 \l 2057 </w:instrText>
                </w:r>
                <w:r w:rsidR="004D12A4">
                  <w:fldChar w:fldCharType="separate"/>
                </w:r>
                <w:r w:rsidR="009233AA">
                  <w:rPr>
                    <w:noProof/>
                  </w:rPr>
                  <w:t xml:space="preserve"> (3)</w:t>
                </w:r>
                <w:r w:rsidR="004D12A4">
                  <w:fldChar w:fldCharType="end"/>
                </w:r>
              </w:sdtContent>
            </w:sdt>
            <w:bookmarkEnd w:id="70"/>
          </w:p>
        </w:tc>
      </w:tr>
      <w:tr w:rsidR="002E006F" w:rsidRPr="000C5CE6" w14:paraId="18A0E470" w14:textId="77777777" w:rsidTr="000F61ED">
        <w:trPr>
          <w:jc w:val="center"/>
        </w:trPr>
        <w:tc>
          <w:tcPr>
            <w:tcW w:w="5000" w:type="pct"/>
          </w:tcPr>
          <w:p w14:paraId="2831062C" w14:textId="17CE7D8D" w:rsidR="002E006F" w:rsidRDefault="00A5239A" w:rsidP="00914E09">
            <w:pPr>
              <w:tabs>
                <w:tab w:val="left" w:pos="6195"/>
              </w:tabs>
              <w:spacing w:before="120" w:after="120"/>
              <w:jc w:val="center"/>
            </w:pPr>
            <w:bookmarkStart w:id="72" w:name="_Hlk84846279"/>
            <w:r w:rsidRPr="00A5239A">
              <w:rPr>
                <w:noProof/>
              </w:rPr>
              <w:drawing>
                <wp:inline distT="0" distB="0" distL="0" distR="0" wp14:anchorId="67B353CD" wp14:editId="65A2C78C">
                  <wp:extent cx="5715798" cy="65160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5798" cy="6516009"/>
                          </a:xfrm>
                          <a:prstGeom prst="rect">
                            <a:avLst/>
                          </a:prstGeom>
                        </pic:spPr>
                      </pic:pic>
                    </a:graphicData>
                  </a:graphic>
                </wp:inline>
              </w:drawing>
            </w:r>
          </w:p>
          <w:p w14:paraId="44980FBF" w14:textId="2669BB31" w:rsidR="00A5239A" w:rsidRPr="000C5CE6" w:rsidRDefault="00A5239A" w:rsidP="00914E09">
            <w:pPr>
              <w:tabs>
                <w:tab w:val="left" w:pos="6195"/>
              </w:tabs>
              <w:spacing w:before="120" w:after="120"/>
              <w:jc w:val="center"/>
            </w:pPr>
          </w:p>
        </w:tc>
      </w:tr>
      <w:bookmarkEnd w:id="72"/>
    </w:tbl>
    <w:p w14:paraId="6F684C31" w14:textId="77777777" w:rsidR="002E006F" w:rsidRDefault="002E006F" w:rsidP="002E006F">
      <w:r>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570"/>
        <w:gridCol w:w="356"/>
        <w:gridCol w:w="585"/>
        <w:gridCol w:w="1479"/>
        <w:gridCol w:w="499"/>
        <w:gridCol w:w="8"/>
        <w:gridCol w:w="859"/>
        <w:gridCol w:w="381"/>
        <w:gridCol w:w="628"/>
        <w:gridCol w:w="476"/>
        <w:gridCol w:w="424"/>
        <w:gridCol w:w="156"/>
        <w:gridCol w:w="320"/>
        <w:gridCol w:w="1236"/>
      </w:tblGrid>
      <w:tr w:rsidR="002E006F" w:rsidRPr="000C5CE6" w14:paraId="1EAC93B9" w14:textId="77777777" w:rsidTr="000F61ED">
        <w:trPr>
          <w:cantSplit/>
          <w:tblHeader/>
          <w:jc w:val="center"/>
        </w:trPr>
        <w:tc>
          <w:tcPr>
            <w:tcW w:w="5000" w:type="pct"/>
            <w:gridSpan w:val="15"/>
          </w:tcPr>
          <w:p w14:paraId="0F3FD3CA" w14:textId="77777777" w:rsidR="002E006F" w:rsidRPr="000C5CE6" w:rsidRDefault="002E006F" w:rsidP="000F61ED">
            <w:pPr>
              <w:pStyle w:val="Appendix"/>
              <w:rPr>
                <w:color w:val="FF0000"/>
              </w:rPr>
            </w:pPr>
            <w:bookmarkStart w:id="73" w:name="_Toc535239240"/>
            <w:bookmarkStart w:id="74" w:name="_Toc8738290"/>
            <w:bookmarkStart w:id="75" w:name="_Toc184025142"/>
            <w:r w:rsidRPr="000C5CE6">
              <w:lastRenderedPageBreak/>
              <w:t>Appendix 2: Equality Impact Assessment Form</w:t>
            </w:r>
            <w:bookmarkEnd w:id="73"/>
            <w:bookmarkEnd w:id="74"/>
            <w:bookmarkEnd w:id="75"/>
          </w:p>
        </w:tc>
      </w:tr>
      <w:tr w:rsidR="002E006F" w:rsidRPr="000C5CE6" w14:paraId="4D82C0E9" w14:textId="77777777" w:rsidTr="000F61ED">
        <w:tblPrEx>
          <w:tblLook w:val="04A0" w:firstRow="1" w:lastRow="0" w:firstColumn="1" w:lastColumn="0" w:noHBand="0" w:noVBand="1"/>
        </w:tblPrEx>
        <w:trPr>
          <w:cantSplit/>
          <w:jc w:val="center"/>
        </w:trPr>
        <w:tc>
          <w:tcPr>
            <w:tcW w:w="858" w:type="pct"/>
            <w:shd w:val="clear" w:color="auto" w:fill="D9D9D9"/>
          </w:tcPr>
          <w:p w14:paraId="5DABE18B"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Department</w:t>
            </w:r>
          </w:p>
        </w:tc>
        <w:tc>
          <w:tcPr>
            <w:tcW w:w="785" w:type="pct"/>
            <w:gridSpan w:val="3"/>
          </w:tcPr>
          <w:p w14:paraId="25F87A53"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Cs w:val="0"/>
                <w:sz w:val="18"/>
                <w:szCs w:val="18"/>
              </w:rPr>
              <w:t>Organisational</w:t>
            </w:r>
          </w:p>
        </w:tc>
        <w:tc>
          <w:tcPr>
            <w:tcW w:w="768" w:type="pct"/>
            <w:shd w:val="clear" w:color="auto" w:fill="D9D9D9"/>
          </w:tcPr>
          <w:p w14:paraId="48797A0C"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Service or Policy</w:t>
            </w:r>
          </w:p>
        </w:tc>
        <w:tc>
          <w:tcPr>
            <w:tcW w:w="709" w:type="pct"/>
            <w:gridSpan w:val="3"/>
          </w:tcPr>
          <w:p w14:paraId="774C0B87"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Cs w:val="0"/>
                <w:sz w:val="18"/>
                <w:szCs w:val="18"/>
              </w:rPr>
              <w:t>Guideline</w:t>
            </w:r>
          </w:p>
        </w:tc>
        <w:tc>
          <w:tcPr>
            <w:tcW w:w="991" w:type="pct"/>
            <w:gridSpan w:val="4"/>
            <w:shd w:val="clear" w:color="auto" w:fill="D9D9D9"/>
          </w:tcPr>
          <w:p w14:paraId="3B632CD5"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Date Completed:</w:t>
            </w:r>
          </w:p>
        </w:tc>
        <w:tc>
          <w:tcPr>
            <w:tcW w:w="889" w:type="pct"/>
            <w:gridSpan w:val="3"/>
          </w:tcPr>
          <w:p w14:paraId="66BBCBB5" w14:textId="0FF7E8A2" w:rsidR="002E006F" w:rsidRPr="000C5CE6" w:rsidRDefault="006E777B" w:rsidP="000F61ED">
            <w:pPr>
              <w:rPr>
                <w:rFonts w:ascii="Arial Narrow" w:hAnsi="Arial Narrow" w:cs="Arial"/>
                <w:bCs w:val="0"/>
                <w:sz w:val="18"/>
                <w:szCs w:val="18"/>
              </w:rPr>
            </w:pPr>
            <w:r>
              <w:rPr>
                <w:rFonts w:ascii="Arial Narrow" w:hAnsi="Arial Narrow" w:cs="Arial"/>
                <w:bCs w:val="0"/>
                <w:sz w:val="18"/>
                <w:szCs w:val="18"/>
              </w:rPr>
              <w:t>July 2023</w:t>
            </w:r>
          </w:p>
        </w:tc>
      </w:tr>
      <w:tr w:rsidR="002E006F" w:rsidRPr="000C5CE6" w14:paraId="2D505D14" w14:textId="77777777" w:rsidTr="000F61ED">
        <w:tblPrEx>
          <w:tblLook w:val="04A0" w:firstRow="1" w:lastRow="0" w:firstColumn="1" w:lastColumn="0" w:noHBand="0" w:noVBand="1"/>
        </w:tblPrEx>
        <w:trPr>
          <w:cantSplit/>
          <w:jc w:val="center"/>
        </w:trPr>
        <w:tc>
          <w:tcPr>
            <w:tcW w:w="5000" w:type="pct"/>
            <w:gridSpan w:val="15"/>
          </w:tcPr>
          <w:p w14:paraId="2C2F8289"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
                <w:bCs w:val="0"/>
                <w:sz w:val="18"/>
                <w:szCs w:val="18"/>
              </w:rPr>
              <w:t>GROUPS TO BE CONSIDERED</w:t>
            </w:r>
          </w:p>
          <w:p w14:paraId="35AF9E15"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Cs w:val="0"/>
                <w:sz w:val="18"/>
                <w:szCs w:val="18"/>
              </w:rPr>
              <w:t>Deprived communities, homeless, substance misusers, people who have a disability, learning disability, older people, children and families, young people, Lesbian Gay Bi-sexual or Transgender, minority ethnic communities, Gypsy/Roma/Travellers, women/men, parents, carers, staff, wider community, offenders.</w:t>
            </w:r>
          </w:p>
        </w:tc>
      </w:tr>
      <w:tr w:rsidR="002E006F" w:rsidRPr="000C5CE6" w14:paraId="5889E04F" w14:textId="77777777" w:rsidTr="000F61ED">
        <w:tblPrEx>
          <w:tblLook w:val="04A0" w:firstRow="1" w:lastRow="0" w:firstColumn="1" w:lastColumn="0" w:noHBand="0" w:noVBand="1"/>
        </w:tblPrEx>
        <w:trPr>
          <w:cantSplit/>
          <w:jc w:val="center"/>
        </w:trPr>
        <w:tc>
          <w:tcPr>
            <w:tcW w:w="5000" w:type="pct"/>
            <w:gridSpan w:val="15"/>
            <w:tcBorders>
              <w:bottom w:val="single" w:sz="4" w:space="0" w:color="000000"/>
            </w:tcBorders>
          </w:tcPr>
          <w:p w14:paraId="7F0F8CBF"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
                <w:bCs w:val="0"/>
                <w:sz w:val="18"/>
                <w:szCs w:val="18"/>
              </w:rPr>
              <w:t>EQUALITY PROTECTED CHARACTERISTICS TO BE CONSIDERED</w:t>
            </w:r>
          </w:p>
          <w:p w14:paraId="12977C57"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Cs w:val="0"/>
                <w:sz w:val="18"/>
                <w:szCs w:val="18"/>
              </w:rPr>
              <w:t>Age, gender, disability, race, sexual orientation, gender identity (or reassignment), religion and belief, carers, Human Rights and social economic / deprivation.</w:t>
            </w:r>
          </w:p>
        </w:tc>
      </w:tr>
      <w:tr w:rsidR="002E006F" w:rsidRPr="000C5CE6" w14:paraId="049DB83C" w14:textId="77777777" w:rsidTr="000F61ED">
        <w:tblPrEx>
          <w:tblLook w:val="04A0" w:firstRow="1" w:lastRow="0" w:firstColumn="1" w:lastColumn="0" w:noHBand="0" w:noVBand="1"/>
        </w:tblPrEx>
        <w:trPr>
          <w:cantSplit/>
          <w:jc w:val="center"/>
        </w:trPr>
        <w:tc>
          <w:tcPr>
            <w:tcW w:w="1339" w:type="pct"/>
            <w:gridSpan w:val="3"/>
            <w:vMerge w:val="restart"/>
            <w:shd w:val="clear" w:color="auto" w:fill="D9D9D9"/>
          </w:tcPr>
          <w:p w14:paraId="3C6F1436" w14:textId="77777777" w:rsidR="002E006F" w:rsidRPr="000C5CE6" w:rsidRDefault="002E006F" w:rsidP="000F61ED">
            <w:pPr>
              <w:jc w:val="center"/>
              <w:rPr>
                <w:rFonts w:ascii="Arial Narrow" w:hAnsi="Arial Narrow" w:cs="Arial"/>
                <w:b/>
                <w:bCs w:val="0"/>
                <w:sz w:val="18"/>
                <w:szCs w:val="18"/>
              </w:rPr>
            </w:pPr>
            <w:r w:rsidRPr="000C5CE6">
              <w:rPr>
                <w:rFonts w:ascii="Arial Narrow" w:hAnsi="Arial Narrow" w:cs="Arial"/>
                <w:b/>
                <w:bCs w:val="0"/>
                <w:sz w:val="18"/>
                <w:szCs w:val="18"/>
              </w:rPr>
              <w:t>QUESTION</w:t>
            </w:r>
          </w:p>
        </w:tc>
        <w:tc>
          <w:tcPr>
            <w:tcW w:w="2305" w:type="pct"/>
            <w:gridSpan w:val="7"/>
            <w:tcBorders>
              <w:right w:val="single" w:sz="4" w:space="0" w:color="auto"/>
            </w:tcBorders>
            <w:shd w:val="clear" w:color="auto" w:fill="D9D9D9"/>
          </w:tcPr>
          <w:p w14:paraId="0C672979" w14:textId="77777777" w:rsidR="002E006F" w:rsidRPr="000C5CE6" w:rsidRDefault="002E006F" w:rsidP="000F61ED">
            <w:pPr>
              <w:jc w:val="center"/>
              <w:rPr>
                <w:rFonts w:ascii="Arial Narrow" w:hAnsi="Arial Narrow" w:cs="Arial"/>
                <w:b/>
                <w:bCs w:val="0"/>
                <w:sz w:val="18"/>
                <w:szCs w:val="18"/>
              </w:rPr>
            </w:pPr>
            <w:r w:rsidRPr="000C5CE6">
              <w:rPr>
                <w:rFonts w:ascii="Arial Narrow" w:hAnsi="Arial Narrow" w:cs="Arial"/>
                <w:b/>
                <w:bCs w:val="0"/>
                <w:sz w:val="18"/>
                <w:szCs w:val="18"/>
              </w:rPr>
              <w:t>RESPONSE</w:t>
            </w:r>
          </w:p>
        </w:tc>
        <w:tc>
          <w:tcPr>
            <w:tcW w:w="1356" w:type="pct"/>
            <w:gridSpan w:val="5"/>
            <w:shd w:val="clear" w:color="auto" w:fill="D9D9D9"/>
          </w:tcPr>
          <w:p w14:paraId="6CAEAFDE" w14:textId="77777777" w:rsidR="002E006F" w:rsidRPr="000C5CE6" w:rsidRDefault="002E006F" w:rsidP="000F61ED">
            <w:pPr>
              <w:jc w:val="center"/>
              <w:rPr>
                <w:rFonts w:ascii="Arial Narrow" w:hAnsi="Arial Narrow" w:cs="Arial"/>
                <w:b/>
                <w:bCs w:val="0"/>
                <w:sz w:val="18"/>
                <w:szCs w:val="18"/>
              </w:rPr>
            </w:pPr>
            <w:r w:rsidRPr="000C5CE6">
              <w:rPr>
                <w:rFonts w:ascii="Arial Narrow" w:hAnsi="Arial Narrow" w:cs="Arial"/>
                <w:b/>
                <w:bCs w:val="0"/>
                <w:sz w:val="18"/>
                <w:szCs w:val="18"/>
              </w:rPr>
              <w:t>IMPACT</w:t>
            </w:r>
          </w:p>
        </w:tc>
      </w:tr>
      <w:tr w:rsidR="002E006F" w:rsidRPr="000C5CE6" w14:paraId="1F11BE43" w14:textId="77777777" w:rsidTr="000F61ED">
        <w:tblPrEx>
          <w:tblLook w:val="04A0" w:firstRow="1" w:lastRow="0" w:firstColumn="1" w:lastColumn="0" w:noHBand="0" w:noVBand="1"/>
        </w:tblPrEx>
        <w:trPr>
          <w:cantSplit/>
          <w:jc w:val="center"/>
        </w:trPr>
        <w:tc>
          <w:tcPr>
            <w:tcW w:w="1339" w:type="pct"/>
            <w:gridSpan w:val="3"/>
            <w:vMerge/>
            <w:shd w:val="clear" w:color="auto" w:fill="D9D9D9"/>
          </w:tcPr>
          <w:p w14:paraId="31B18E85" w14:textId="77777777" w:rsidR="002E006F" w:rsidRPr="000C5CE6" w:rsidRDefault="002E006F" w:rsidP="000F61ED">
            <w:pPr>
              <w:rPr>
                <w:rFonts w:ascii="Arial Narrow" w:hAnsi="Arial Narrow" w:cs="Arial"/>
                <w:b/>
                <w:bCs w:val="0"/>
                <w:sz w:val="18"/>
                <w:szCs w:val="18"/>
              </w:rPr>
            </w:pPr>
          </w:p>
        </w:tc>
        <w:tc>
          <w:tcPr>
            <w:tcW w:w="1331" w:type="pct"/>
            <w:gridSpan w:val="3"/>
            <w:shd w:val="clear" w:color="auto" w:fill="D9D9D9"/>
          </w:tcPr>
          <w:p w14:paraId="03B54B0D"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Cs w:val="0"/>
                <w:sz w:val="18"/>
                <w:szCs w:val="18"/>
              </w:rPr>
              <w:t>Issue</w:t>
            </w:r>
          </w:p>
        </w:tc>
        <w:tc>
          <w:tcPr>
            <w:tcW w:w="974" w:type="pct"/>
            <w:gridSpan w:val="4"/>
            <w:tcBorders>
              <w:right w:val="single" w:sz="4" w:space="0" w:color="auto"/>
            </w:tcBorders>
            <w:shd w:val="clear" w:color="auto" w:fill="D9D9D9"/>
          </w:tcPr>
          <w:p w14:paraId="5D0CF72E"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Cs w:val="0"/>
                <w:sz w:val="18"/>
                <w:szCs w:val="18"/>
              </w:rPr>
              <w:t>Action</w:t>
            </w:r>
          </w:p>
        </w:tc>
        <w:tc>
          <w:tcPr>
            <w:tcW w:w="714" w:type="pct"/>
            <w:gridSpan w:val="4"/>
            <w:tcBorders>
              <w:left w:val="single" w:sz="4" w:space="0" w:color="auto"/>
            </w:tcBorders>
            <w:shd w:val="clear" w:color="auto" w:fill="D9D9D9"/>
          </w:tcPr>
          <w:p w14:paraId="55738829"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Cs w:val="0"/>
                <w:sz w:val="18"/>
                <w:szCs w:val="18"/>
              </w:rPr>
              <w:t>Positive</w:t>
            </w:r>
          </w:p>
        </w:tc>
        <w:tc>
          <w:tcPr>
            <w:tcW w:w="642" w:type="pct"/>
            <w:shd w:val="clear" w:color="auto" w:fill="D9D9D9"/>
          </w:tcPr>
          <w:p w14:paraId="4C3B6EAD"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Cs w:val="0"/>
                <w:sz w:val="18"/>
                <w:szCs w:val="18"/>
              </w:rPr>
              <w:t>Negative</w:t>
            </w:r>
          </w:p>
        </w:tc>
      </w:tr>
      <w:tr w:rsidR="002E006F" w:rsidRPr="000C5CE6" w14:paraId="0FE8273B" w14:textId="77777777" w:rsidTr="000F61ED">
        <w:tblPrEx>
          <w:tblLook w:val="04A0" w:firstRow="1" w:lastRow="0" w:firstColumn="1" w:lastColumn="0" w:noHBand="0" w:noVBand="1"/>
        </w:tblPrEx>
        <w:trPr>
          <w:cantSplit/>
          <w:jc w:val="center"/>
        </w:trPr>
        <w:tc>
          <w:tcPr>
            <w:tcW w:w="1339" w:type="pct"/>
            <w:gridSpan w:val="3"/>
          </w:tcPr>
          <w:p w14:paraId="06BCDAE6"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What is the service, leaflet or policy development?</w:t>
            </w:r>
          </w:p>
          <w:p w14:paraId="162652C5"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What are its aims, who are the target audience?</w:t>
            </w:r>
          </w:p>
        </w:tc>
        <w:tc>
          <w:tcPr>
            <w:tcW w:w="1331" w:type="pct"/>
            <w:gridSpan w:val="3"/>
          </w:tcPr>
          <w:p w14:paraId="5741FF4B"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The Procedural Document is to ensure that all members of staff have clear guidance on processes to be followed. The target audience is all staff across the Organisation who undertakes this process.</w:t>
            </w:r>
          </w:p>
        </w:tc>
        <w:tc>
          <w:tcPr>
            <w:tcW w:w="974" w:type="pct"/>
            <w:gridSpan w:val="4"/>
          </w:tcPr>
          <w:p w14:paraId="19EBD523"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Raise awareness of the Organisations format and processes involved in relation to the procedural document.</w:t>
            </w:r>
          </w:p>
        </w:tc>
        <w:tc>
          <w:tcPr>
            <w:tcW w:w="714" w:type="pct"/>
            <w:gridSpan w:val="4"/>
          </w:tcPr>
          <w:p w14:paraId="075C60FB"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 xml:space="preserve">Yes – Clear processes identified </w:t>
            </w:r>
          </w:p>
        </w:tc>
        <w:tc>
          <w:tcPr>
            <w:tcW w:w="642" w:type="pct"/>
          </w:tcPr>
          <w:p w14:paraId="7E0138AC" w14:textId="77777777" w:rsidR="002E006F" w:rsidRPr="000C5CE6" w:rsidRDefault="002E006F" w:rsidP="000F61ED">
            <w:pPr>
              <w:rPr>
                <w:rFonts w:ascii="Arial Narrow" w:hAnsi="Arial Narrow" w:cs="Arial"/>
                <w:bCs w:val="0"/>
                <w:color w:val="000000"/>
                <w:sz w:val="16"/>
                <w:szCs w:val="16"/>
              </w:rPr>
            </w:pPr>
          </w:p>
        </w:tc>
      </w:tr>
      <w:tr w:rsidR="002E006F" w:rsidRPr="000C5CE6" w14:paraId="6F213364" w14:textId="77777777" w:rsidTr="000F61ED">
        <w:tblPrEx>
          <w:tblLook w:val="04A0" w:firstRow="1" w:lastRow="0" w:firstColumn="1" w:lastColumn="0" w:noHBand="0" w:noVBand="1"/>
        </w:tblPrEx>
        <w:trPr>
          <w:cantSplit/>
          <w:jc w:val="center"/>
        </w:trPr>
        <w:tc>
          <w:tcPr>
            <w:tcW w:w="1339" w:type="pct"/>
            <w:gridSpan w:val="3"/>
          </w:tcPr>
          <w:p w14:paraId="5835C8F1"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 development impact on community safety</w:t>
            </w:r>
          </w:p>
          <w:p w14:paraId="226A9C78" w14:textId="77777777" w:rsidR="002E006F" w:rsidRPr="000C5CE6" w:rsidRDefault="002E006F" w:rsidP="000F61ED">
            <w:pPr>
              <w:numPr>
                <w:ilvl w:val="0"/>
                <w:numId w:val="3"/>
              </w:numPr>
              <w:rPr>
                <w:rFonts w:ascii="Arial Narrow" w:hAnsi="Arial Narrow" w:cs="Arial"/>
                <w:bCs w:val="0"/>
                <w:color w:val="000000"/>
                <w:sz w:val="16"/>
                <w:szCs w:val="16"/>
              </w:rPr>
            </w:pPr>
            <w:r w:rsidRPr="000C5CE6">
              <w:rPr>
                <w:rFonts w:ascii="Arial Narrow" w:hAnsi="Arial Narrow" w:cs="Arial"/>
                <w:bCs w:val="0"/>
                <w:color w:val="000000"/>
                <w:sz w:val="16"/>
                <w:szCs w:val="16"/>
              </w:rPr>
              <w:t>Crime</w:t>
            </w:r>
          </w:p>
          <w:p w14:paraId="6F01760B" w14:textId="77777777" w:rsidR="002E006F" w:rsidRPr="000C5CE6" w:rsidRDefault="002E006F" w:rsidP="000F61ED">
            <w:pPr>
              <w:numPr>
                <w:ilvl w:val="0"/>
                <w:numId w:val="3"/>
              </w:numPr>
              <w:rPr>
                <w:rFonts w:ascii="Arial Narrow" w:hAnsi="Arial Narrow" w:cs="Arial"/>
                <w:bCs w:val="0"/>
                <w:color w:val="000000"/>
                <w:sz w:val="16"/>
                <w:szCs w:val="16"/>
              </w:rPr>
            </w:pPr>
            <w:r w:rsidRPr="000C5CE6">
              <w:rPr>
                <w:rFonts w:ascii="Arial Narrow" w:hAnsi="Arial Narrow" w:cs="Arial"/>
                <w:bCs w:val="0"/>
                <w:color w:val="000000"/>
                <w:sz w:val="16"/>
                <w:szCs w:val="16"/>
              </w:rPr>
              <w:t>Community cohesion</w:t>
            </w:r>
          </w:p>
        </w:tc>
        <w:tc>
          <w:tcPr>
            <w:tcW w:w="1331" w:type="pct"/>
            <w:gridSpan w:val="3"/>
          </w:tcPr>
          <w:p w14:paraId="261A64A8"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No</w:t>
            </w:r>
          </w:p>
        </w:tc>
        <w:tc>
          <w:tcPr>
            <w:tcW w:w="974" w:type="pct"/>
            <w:gridSpan w:val="4"/>
          </w:tcPr>
          <w:p w14:paraId="5D9440CB"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NA</w:t>
            </w:r>
          </w:p>
        </w:tc>
        <w:tc>
          <w:tcPr>
            <w:tcW w:w="714" w:type="pct"/>
            <w:gridSpan w:val="4"/>
          </w:tcPr>
          <w:p w14:paraId="1B869BB1"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NA</w:t>
            </w:r>
          </w:p>
        </w:tc>
        <w:tc>
          <w:tcPr>
            <w:tcW w:w="642" w:type="pct"/>
          </w:tcPr>
          <w:p w14:paraId="160F9704" w14:textId="77777777" w:rsidR="002E006F" w:rsidRPr="000C5CE6" w:rsidRDefault="002E006F" w:rsidP="000F61ED">
            <w:pPr>
              <w:rPr>
                <w:rFonts w:ascii="Arial Narrow" w:hAnsi="Arial Narrow" w:cs="Arial"/>
                <w:bCs w:val="0"/>
                <w:color w:val="000000"/>
                <w:sz w:val="16"/>
                <w:szCs w:val="16"/>
              </w:rPr>
            </w:pPr>
          </w:p>
        </w:tc>
      </w:tr>
      <w:tr w:rsidR="002E006F" w:rsidRPr="000C5CE6" w14:paraId="7331DD5B" w14:textId="77777777" w:rsidTr="000F61ED">
        <w:tblPrEx>
          <w:tblLook w:val="04A0" w:firstRow="1" w:lastRow="0" w:firstColumn="1" w:lastColumn="0" w:noHBand="0" w:noVBand="1"/>
        </w:tblPrEx>
        <w:trPr>
          <w:cantSplit/>
          <w:jc w:val="center"/>
        </w:trPr>
        <w:tc>
          <w:tcPr>
            <w:tcW w:w="1339" w:type="pct"/>
            <w:gridSpan w:val="3"/>
          </w:tcPr>
          <w:p w14:paraId="67BD7358"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 xml:space="preserve">Is there any evidence that groups who should benefit do not? i.e. equal opportunity monitoring of service users and/or staff. If none/insufficient local or national data </w:t>
            </w:r>
            <w:proofErr w:type="gramStart"/>
            <w:r w:rsidRPr="000C5CE6">
              <w:rPr>
                <w:rFonts w:ascii="Arial Narrow" w:hAnsi="Arial Narrow" w:cs="Arial"/>
                <w:bCs w:val="0"/>
                <w:color w:val="000000"/>
                <w:sz w:val="16"/>
                <w:szCs w:val="16"/>
              </w:rPr>
              <w:t>available</w:t>
            </w:r>
            <w:proofErr w:type="gramEnd"/>
            <w:r w:rsidRPr="000C5CE6">
              <w:rPr>
                <w:rFonts w:ascii="Arial Narrow" w:hAnsi="Arial Narrow" w:cs="Arial"/>
                <w:bCs w:val="0"/>
                <w:color w:val="000000"/>
                <w:sz w:val="16"/>
                <w:szCs w:val="16"/>
              </w:rPr>
              <w:t xml:space="preserve"> consider what information you need.</w:t>
            </w:r>
          </w:p>
        </w:tc>
        <w:tc>
          <w:tcPr>
            <w:tcW w:w="1331" w:type="pct"/>
            <w:gridSpan w:val="3"/>
          </w:tcPr>
          <w:p w14:paraId="69FEE616"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No</w:t>
            </w:r>
          </w:p>
        </w:tc>
        <w:tc>
          <w:tcPr>
            <w:tcW w:w="974" w:type="pct"/>
            <w:gridSpan w:val="4"/>
          </w:tcPr>
          <w:p w14:paraId="72CDC224"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N/A</w:t>
            </w:r>
          </w:p>
        </w:tc>
        <w:tc>
          <w:tcPr>
            <w:tcW w:w="714" w:type="pct"/>
            <w:gridSpan w:val="4"/>
          </w:tcPr>
          <w:p w14:paraId="5A9DCB59"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N/A</w:t>
            </w:r>
          </w:p>
        </w:tc>
        <w:tc>
          <w:tcPr>
            <w:tcW w:w="642" w:type="pct"/>
          </w:tcPr>
          <w:p w14:paraId="728F014D" w14:textId="77777777" w:rsidR="002E006F" w:rsidRPr="000C5CE6" w:rsidRDefault="002E006F" w:rsidP="000F61ED">
            <w:pPr>
              <w:rPr>
                <w:rFonts w:ascii="Arial Narrow" w:hAnsi="Arial Narrow" w:cs="Arial"/>
                <w:bCs w:val="0"/>
                <w:color w:val="000000"/>
                <w:sz w:val="16"/>
                <w:szCs w:val="16"/>
              </w:rPr>
            </w:pPr>
          </w:p>
        </w:tc>
      </w:tr>
      <w:tr w:rsidR="002E006F" w:rsidRPr="000C5CE6" w14:paraId="78EAAEC6" w14:textId="77777777" w:rsidTr="000F61ED">
        <w:tblPrEx>
          <w:tblLook w:val="04A0" w:firstRow="1" w:lastRow="0" w:firstColumn="1" w:lastColumn="0" w:noHBand="0" w:noVBand="1"/>
        </w:tblPrEx>
        <w:trPr>
          <w:cantSplit/>
          <w:jc w:val="center"/>
        </w:trPr>
        <w:tc>
          <w:tcPr>
            <w:tcW w:w="1339" w:type="pct"/>
            <w:gridSpan w:val="3"/>
          </w:tcPr>
          <w:p w14:paraId="5B05EBF6"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 xml:space="preserve">Does the service, leaflet or development/ policy have a negative impact on any geographical or </w:t>
            </w:r>
            <w:proofErr w:type="gramStart"/>
            <w:r w:rsidRPr="000C5CE6">
              <w:rPr>
                <w:rFonts w:ascii="Arial Narrow" w:hAnsi="Arial Narrow" w:cs="Arial"/>
                <w:bCs w:val="0"/>
                <w:color w:val="000000"/>
                <w:sz w:val="16"/>
                <w:szCs w:val="16"/>
              </w:rPr>
              <w:t>sub group</w:t>
            </w:r>
            <w:proofErr w:type="gramEnd"/>
            <w:r w:rsidRPr="000C5CE6">
              <w:rPr>
                <w:rFonts w:ascii="Arial Narrow" w:hAnsi="Arial Narrow" w:cs="Arial"/>
                <w:bCs w:val="0"/>
                <w:color w:val="000000"/>
                <w:sz w:val="16"/>
                <w:szCs w:val="16"/>
              </w:rPr>
              <w:t xml:space="preserve"> of the population?</w:t>
            </w:r>
          </w:p>
        </w:tc>
        <w:tc>
          <w:tcPr>
            <w:tcW w:w="1331" w:type="pct"/>
            <w:gridSpan w:val="3"/>
          </w:tcPr>
          <w:p w14:paraId="0D3A189B"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No</w:t>
            </w:r>
          </w:p>
        </w:tc>
        <w:tc>
          <w:tcPr>
            <w:tcW w:w="974" w:type="pct"/>
            <w:gridSpan w:val="4"/>
          </w:tcPr>
          <w:p w14:paraId="08CEBCCA"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N/A</w:t>
            </w:r>
          </w:p>
        </w:tc>
        <w:tc>
          <w:tcPr>
            <w:tcW w:w="714" w:type="pct"/>
            <w:gridSpan w:val="4"/>
          </w:tcPr>
          <w:p w14:paraId="7E2D59FC"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N/A</w:t>
            </w:r>
          </w:p>
        </w:tc>
        <w:tc>
          <w:tcPr>
            <w:tcW w:w="642" w:type="pct"/>
          </w:tcPr>
          <w:p w14:paraId="2CE21920" w14:textId="77777777" w:rsidR="002E006F" w:rsidRPr="000C5CE6" w:rsidRDefault="002E006F" w:rsidP="000F61ED">
            <w:pPr>
              <w:rPr>
                <w:rFonts w:ascii="Arial Narrow" w:hAnsi="Arial Narrow" w:cs="Arial"/>
                <w:bCs w:val="0"/>
                <w:color w:val="000000"/>
                <w:sz w:val="16"/>
                <w:szCs w:val="16"/>
              </w:rPr>
            </w:pPr>
          </w:p>
        </w:tc>
      </w:tr>
      <w:tr w:rsidR="002E006F" w:rsidRPr="000C5CE6" w14:paraId="72AF8482" w14:textId="77777777" w:rsidTr="000F61ED">
        <w:tblPrEx>
          <w:tblLook w:val="04A0" w:firstRow="1" w:lastRow="0" w:firstColumn="1" w:lastColumn="0" w:noHBand="0" w:noVBand="1"/>
        </w:tblPrEx>
        <w:trPr>
          <w:cantSplit/>
          <w:jc w:val="center"/>
        </w:trPr>
        <w:tc>
          <w:tcPr>
            <w:tcW w:w="1339" w:type="pct"/>
            <w:gridSpan w:val="3"/>
          </w:tcPr>
          <w:p w14:paraId="5E3FCD13"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How does the service, leaflet or policy/ development promote equality and diversity?</w:t>
            </w:r>
          </w:p>
        </w:tc>
        <w:tc>
          <w:tcPr>
            <w:tcW w:w="1331" w:type="pct"/>
            <w:gridSpan w:val="3"/>
          </w:tcPr>
          <w:p w14:paraId="50AB4883"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Ensures a cohesive approach across the Organisation in relation to the procedural document.</w:t>
            </w:r>
          </w:p>
        </w:tc>
        <w:tc>
          <w:tcPr>
            <w:tcW w:w="974" w:type="pct"/>
            <w:gridSpan w:val="4"/>
          </w:tcPr>
          <w:p w14:paraId="5609B808"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All policies and procedural documents include an EA to identify any positive or negative impacts.</w:t>
            </w:r>
          </w:p>
        </w:tc>
        <w:tc>
          <w:tcPr>
            <w:tcW w:w="714" w:type="pct"/>
            <w:gridSpan w:val="4"/>
          </w:tcPr>
          <w:p w14:paraId="4DE60111" w14:textId="77777777" w:rsidR="002E006F" w:rsidRPr="000C5CE6" w:rsidRDefault="002E006F" w:rsidP="000F61ED">
            <w:pPr>
              <w:rPr>
                <w:rFonts w:ascii="Arial Narrow" w:hAnsi="Arial Narrow" w:cs="Arial"/>
                <w:bCs w:val="0"/>
                <w:color w:val="000000"/>
                <w:sz w:val="16"/>
                <w:szCs w:val="16"/>
              </w:rPr>
            </w:pPr>
            <w:proofErr w:type="gramStart"/>
            <w:r w:rsidRPr="000C5CE6">
              <w:rPr>
                <w:rFonts w:ascii="Arial Narrow" w:hAnsi="Arial Narrow" w:cs="Arial"/>
                <w:bCs w:val="0"/>
                <w:color w:val="000000"/>
                <w:sz w:val="16"/>
                <w:szCs w:val="16"/>
              </w:rPr>
              <w:t>Yes</w:t>
            </w:r>
            <w:proofErr w:type="gramEnd"/>
            <w:r w:rsidRPr="000C5CE6">
              <w:rPr>
                <w:rFonts w:ascii="Arial Narrow" w:hAnsi="Arial Narrow" w:cs="Arial"/>
                <w:bCs w:val="0"/>
                <w:color w:val="000000"/>
                <w:sz w:val="16"/>
                <w:szCs w:val="16"/>
              </w:rPr>
              <w:t xml:space="preserve"> clear processes identified </w:t>
            </w:r>
          </w:p>
        </w:tc>
        <w:tc>
          <w:tcPr>
            <w:tcW w:w="642" w:type="pct"/>
          </w:tcPr>
          <w:p w14:paraId="0BC3D42D" w14:textId="77777777" w:rsidR="002E006F" w:rsidRPr="000C5CE6" w:rsidRDefault="002E006F" w:rsidP="000F61ED">
            <w:pPr>
              <w:rPr>
                <w:rFonts w:ascii="Arial Narrow" w:hAnsi="Arial Narrow" w:cs="Arial"/>
                <w:bCs w:val="0"/>
                <w:color w:val="000000"/>
                <w:sz w:val="16"/>
                <w:szCs w:val="16"/>
              </w:rPr>
            </w:pPr>
          </w:p>
        </w:tc>
      </w:tr>
      <w:tr w:rsidR="002E006F" w:rsidRPr="000C5CE6" w14:paraId="1274C6DE" w14:textId="77777777" w:rsidTr="000F61ED">
        <w:tblPrEx>
          <w:tblLook w:val="04A0" w:firstRow="1" w:lastRow="0" w:firstColumn="1" w:lastColumn="0" w:noHBand="0" w:noVBand="1"/>
        </w:tblPrEx>
        <w:trPr>
          <w:cantSplit/>
          <w:jc w:val="center"/>
        </w:trPr>
        <w:tc>
          <w:tcPr>
            <w:tcW w:w="1339" w:type="pct"/>
            <w:gridSpan w:val="3"/>
          </w:tcPr>
          <w:p w14:paraId="527B57FA"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 development explicitly include a commitment to equality and diversity and meeting needs? How does it demonstrate its impact?</w:t>
            </w:r>
          </w:p>
        </w:tc>
        <w:tc>
          <w:tcPr>
            <w:tcW w:w="1331" w:type="pct"/>
            <w:gridSpan w:val="3"/>
          </w:tcPr>
          <w:p w14:paraId="60EAE943"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The Procedure includes a completed EA which provides the opportunity to highlight any potential for a negative / adverse impact.</w:t>
            </w:r>
          </w:p>
        </w:tc>
        <w:tc>
          <w:tcPr>
            <w:tcW w:w="974" w:type="pct"/>
            <w:gridSpan w:val="4"/>
          </w:tcPr>
          <w:p w14:paraId="2F038835"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358D1D11" w14:textId="77777777" w:rsidR="002E006F" w:rsidRPr="000C5CE6" w:rsidRDefault="002E006F" w:rsidP="000F61ED">
            <w:pPr>
              <w:rPr>
                <w:rFonts w:ascii="Arial Narrow" w:hAnsi="Arial Narrow" w:cs="Arial"/>
                <w:bCs w:val="0"/>
                <w:color w:val="000000"/>
                <w:sz w:val="16"/>
                <w:szCs w:val="16"/>
              </w:rPr>
            </w:pPr>
          </w:p>
        </w:tc>
        <w:tc>
          <w:tcPr>
            <w:tcW w:w="642" w:type="pct"/>
          </w:tcPr>
          <w:p w14:paraId="01A0D76B" w14:textId="77777777" w:rsidR="002E006F" w:rsidRPr="000C5CE6" w:rsidRDefault="002E006F" w:rsidP="000F61ED">
            <w:pPr>
              <w:rPr>
                <w:rFonts w:ascii="Arial Narrow" w:hAnsi="Arial Narrow" w:cs="Arial"/>
                <w:bCs w:val="0"/>
                <w:color w:val="000000"/>
                <w:sz w:val="16"/>
                <w:szCs w:val="16"/>
              </w:rPr>
            </w:pPr>
          </w:p>
        </w:tc>
      </w:tr>
      <w:tr w:rsidR="002E006F" w:rsidRPr="000C5CE6" w14:paraId="31EA2C27" w14:textId="77777777" w:rsidTr="000F61ED">
        <w:tblPrEx>
          <w:tblLook w:val="04A0" w:firstRow="1" w:lastRow="0" w:firstColumn="1" w:lastColumn="0" w:noHBand="0" w:noVBand="1"/>
        </w:tblPrEx>
        <w:trPr>
          <w:cantSplit/>
          <w:jc w:val="center"/>
        </w:trPr>
        <w:tc>
          <w:tcPr>
            <w:tcW w:w="1339" w:type="pct"/>
            <w:gridSpan w:val="3"/>
          </w:tcPr>
          <w:p w14:paraId="24FDDF75"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Organisation or service workforce reflect the local population? Do we employ people from disadvantaged groups</w:t>
            </w:r>
          </w:p>
        </w:tc>
        <w:tc>
          <w:tcPr>
            <w:tcW w:w="1331" w:type="pct"/>
            <w:gridSpan w:val="3"/>
          </w:tcPr>
          <w:p w14:paraId="3A72624F"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color w:val="000000" w:themeColor="text1"/>
                <w:sz w:val="16"/>
                <w:szCs w:val="16"/>
              </w:rPr>
              <w:t xml:space="preserve">Our workforce is reflective of the local population.  </w:t>
            </w:r>
          </w:p>
        </w:tc>
        <w:tc>
          <w:tcPr>
            <w:tcW w:w="974" w:type="pct"/>
            <w:gridSpan w:val="4"/>
          </w:tcPr>
          <w:p w14:paraId="513247E1"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10FC565D" w14:textId="77777777" w:rsidR="002E006F" w:rsidRPr="000C5CE6" w:rsidRDefault="002E006F" w:rsidP="000F61ED">
            <w:pPr>
              <w:rPr>
                <w:rFonts w:ascii="Arial Narrow" w:hAnsi="Arial Narrow" w:cs="Arial"/>
                <w:bCs w:val="0"/>
                <w:color w:val="000000"/>
                <w:sz w:val="16"/>
                <w:szCs w:val="16"/>
              </w:rPr>
            </w:pPr>
          </w:p>
        </w:tc>
        <w:tc>
          <w:tcPr>
            <w:tcW w:w="642" w:type="pct"/>
          </w:tcPr>
          <w:p w14:paraId="3B89D62C" w14:textId="77777777" w:rsidR="002E006F" w:rsidRPr="000C5CE6" w:rsidRDefault="002E006F" w:rsidP="000F61ED">
            <w:pPr>
              <w:rPr>
                <w:rFonts w:ascii="Arial Narrow" w:hAnsi="Arial Narrow" w:cs="Arial"/>
                <w:bCs w:val="0"/>
                <w:color w:val="000000"/>
                <w:sz w:val="16"/>
                <w:szCs w:val="16"/>
              </w:rPr>
            </w:pPr>
          </w:p>
        </w:tc>
      </w:tr>
      <w:tr w:rsidR="002E006F" w:rsidRPr="000C5CE6" w14:paraId="63F29CEA" w14:textId="77777777" w:rsidTr="000F61ED">
        <w:tblPrEx>
          <w:tblLook w:val="04A0" w:firstRow="1" w:lastRow="0" w:firstColumn="1" w:lastColumn="0" w:noHBand="0" w:noVBand="1"/>
        </w:tblPrEx>
        <w:trPr>
          <w:cantSplit/>
          <w:jc w:val="center"/>
        </w:trPr>
        <w:tc>
          <w:tcPr>
            <w:tcW w:w="1339" w:type="pct"/>
            <w:gridSpan w:val="3"/>
          </w:tcPr>
          <w:p w14:paraId="7FACA9A8"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Will the service, leaflet or policy/ development</w:t>
            </w:r>
          </w:p>
          <w:p w14:paraId="1DF59BE7" w14:textId="77777777" w:rsidR="002E006F" w:rsidRPr="000C5CE6" w:rsidRDefault="002E006F" w:rsidP="000F61ED">
            <w:pPr>
              <w:numPr>
                <w:ilvl w:val="0"/>
                <w:numId w:val="1"/>
              </w:numPr>
              <w:tabs>
                <w:tab w:val="clear" w:pos="1440"/>
                <w:tab w:val="num" w:pos="284"/>
              </w:tabs>
              <w:ind w:left="492" w:hanging="492"/>
              <w:rPr>
                <w:rFonts w:ascii="Arial Narrow" w:hAnsi="Arial Narrow" w:cs="Arial"/>
                <w:bCs w:val="0"/>
                <w:color w:val="000000"/>
                <w:sz w:val="16"/>
                <w:szCs w:val="16"/>
              </w:rPr>
            </w:pPr>
            <w:r w:rsidRPr="000C5CE6">
              <w:rPr>
                <w:rFonts w:ascii="Arial Narrow" w:hAnsi="Arial Narrow" w:cs="Arial"/>
                <w:bCs w:val="0"/>
                <w:color w:val="000000"/>
                <w:sz w:val="16"/>
                <w:szCs w:val="16"/>
              </w:rPr>
              <w:t>Improve economic social conditions in</w:t>
            </w:r>
          </w:p>
          <w:p w14:paraId="726AA8C8" w14:textId="77777777" w:rsidR="002E006F" w:rsidRPr="000C5CE6" w:rsidRDefault="002E006F" w:rsidP="000F61ED">
            <w:pPr>
              <w:ind w:left="284"/>
              <w:rPr>
                <w:rFonts w:ascii="Arial Narrow" w:hAnsi="Arial Narrow" w:cs="Arial"/>
                <w:bCs w:val="0"/>
                <w:color w:val="000000"/>
                <w:sz w:val="16"/>
                <w:szCs w:val="16"/>
              </w:rPr>
            </w:pPr>
            <w:r w:rsidRPr="000C5CE6">
              <w:rPr>
                <w:rFonts w:ascii="Arial Narrow" w:hAnsi="Arial Narrow" w:cs="Arial"/>
                <w:bCs w:val="0"/>
                <w:color w:val="000000"/>
                <w:sz w:val="16"/>
                <w:szCs w:val="16"/>
              </w:rPr>
              <w:t>deprived areas</w:t>
            </w:r>
          </w:p>
          <w:p w14:paraId="00DA05E2" w14:textId="77777777" w:rsidR="002E006F" w:rsidRPr="000C5CE6" w:rsidRDefault="002E006F" w:rsidP="000F61ED">
            <w:pPr>
              <w:numPr>
                <w:ilvl w:val="0"/>
                <w:numId w:val="1"/>
              </w:numPr>
              <w:tabs>
                <w:tab w:val="clear" w:pos="1440"/>
                <w:tab w:val="num" w:pos="284"/>
              </w:tabs>
              <w:ind w:left="492" w:hanging="492"/>
              <w:rPr>
                <w:rFonts w:ascii="Arial Narrow" w:hAnsi="Arial Narrow" w:cs="Arial"/>
                <w:bCs w:val="0"/>
                <w:color w:val="000000"/>
                <w:sz w:val="16"/>
                <w:szCs w:val="16"/>
              </w:rPr>
            </w:pPr>
            <w:r w:rsidRPr="000C5CE6">
              <w:rPr>
                <w:rFonts w:ascii="Arial Narrow" w:hAnsi="Arial Narrow" w:cs="Arial"/>
                <w:bCs w:val="0"/>
                <w:color w:val="000000"/>
                <w:sz w:val="16"/>
                <w:szCs w:val="16"/>
              </w:rPr>
              <w:t>Use brown field sites</w:t>
            </w:r>
          </w:p>
          <w:p w14:paraId="47206114" w14:textId="77777777" w:rsidR="002E006F" w:rsidRPr="000C5CE6" w:rsidRDefault="002E006F" w:rsidP="000F61ED">
            <w:pPr>
              <w:numPr>
                <w:ilvl w:val="0"/>
                <w:numId w:val="1"/>
              </w:numPr>
              <w:tabs>
                <w:tab w:val="clear" w:pos="1440"/>
                <w:tab w:val="num" w:pos="284"/>
              </w:tabs>
              <w:ind w:left="284" w:hanging="284"/>
              <w:rPr>
                <w:rFonts w:ascii="Arial Narrow" w:hAnsi="Arial Narrow" w:cs="Arial"/>
                <w:bCs w:val="0"/>
                <w:color w:val="000000"/>
                <w:sz w:val="16"/>
                <w:szCs w:val="16"/>
              </w:rPr>
            </w:pPr>
            <w:r w:rsidRPr="000C5CE6">
              <w:rPr>
                <w:rFonts w:ascii="Arial Narrow" w:hAnsi="Arial Narrow" w:cs="Arial"/>
                <w:bCs w:val="0"/>
                <w:color w:val="000000"/>
                <w:sz w:val="16"/>
                <w:szCs w:val="16"/>
              </w:rPr>
              <w:t>Improve public spaces including creation of green spaces?</w:t>
            </w:r>
          </w:p>
        </w:tc>
        <w:tc>
          <w:tcPr>
            <w:tcW w:w="1331" w:type="pct"/>
            <w:gridSpan w:val="3"/>
          </w:tcPr>
          <w:p w14:paraId="40391C07"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 xml:space="preserve">No </w:t>
            </w:r>
          </w:p>
        </w:tc>
        <w:tc>
          <w:tcPr>
            <w:tcW w:w="974" w:type="pct"/>
            <w:gridSpan w:val="4"/>
          </w:tcPr>
          <w:p w14:paraId="69F4FCBA"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769050A5" w14:textId="77777777" w:rsidR="002E006F" w:rsidRPr="000C5CE6" w:rsidRDefault="002E006F" w:rsidP="000F61ED">
            <w:pPr>
              <w:rPr>
                <w:rFonts w:ascii="Arial Narrow" w:hAnsi="Arial Narrow" w:cs="Arial"/>
                <w:bCs w:val="0"/>
                <w:color w:val="000000"/>
                <w:sz w:val="16"/>
                <w:szCs w:val="16"/>
              </w:rPr>
            </w:pPr>
          </w:p>
        </w:tc>
        <w:tc>
          <w:tcPr>
            <w:tcW w:w="642" w:type="pct"/>
          </w:tcPr>
          <w:p w14:paraId="1972CB6C" w14:textId="77777777" w:rsidR="002E006F" w:rsidRPr="000C5CE6" w:rsidRDefault="002E006F" w:rsidP="000F61ED">
            <w:pPr>
              <w:rPr>
                <w:rFonts w:ascii="Arial Narrow" w:hAnsi="Arial Narrow" w:cs="Arial"/>
                <w:bCs w:val="0"/>
                <w:color w:val="000000"/>
                <w:sz w:val="16"/>
                <w:szCs w:val="16"/>
              </w:rPr>
            </w:pPr>
          </w:p>
        </w:tc>
      </w:tr>
      <w:tr w:rsidR="002E006F" w:rsidRPr="000C5CE6" w14:paraId="5B92F956" w14:textId="77777777" w:rsidTr="000F61ED">
        <w:tblPrEx>
          <w:tblLook w:val="04A0" w:firstRow="1" w:lastRow="0" w:firstColumn="1" w:lastColumn="0" w:noHBand="0" w:noVBand="1"/>
        </w:tblPrEx>
        <w:trPr>
          <w:cantSplit/>
          <w:jc w:val="center"/>
        </w:trPr>
        <w:tc>
          <w:tcPr>
            <w:tcW w:w="1339" w:type="pct"/>
            <w:gridSpan w:val="3"/>
          </w:tcPr>
          <w:p w14:paraId="6D7A9D10"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 development promote equity of lifelong learning?</w:t>
            </w:r>
          </w:p>
        </w:tc>
        <w:tc>
          <w:tcPr>
            <w:tcW w:w="1331" w:type="pct"/>
            <w:gridSpan w:val="3"/>
          </w:tcPr>
          <w:p w14:paraId="13E869C6"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NA</w:t>
            </w:r>
          </w:p>
        </w:tc>
        <w:tc>
          <w:tcPr>
            <w:tcW w:w="974" w:type="pct"/>
            <w:gridSpan w:val="4"/>
          </w:tcPr>
          <w:p w14:paraId="562E8740"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5207968A" w14:textId="77777777" w:rsidR="002E006F" w:rsidRPr="000C5CE6" w:rsidRDefault="002E006F" w:rsidP="000F61ED">
            <w:pPr>
              <w:rPr>
                <w:rFonts w:ascii="Arial Narrow" w:hAnsi="Arial Narrow" w:cs="Arial"/>
                <w:bCs w:val="0"/>
                <w:color w:val="000000"/>
                <w:sz w:val="16"/>
                <w:szCs w:val="16"/>
              </w:rPr>
            </w:pPr>
          </w:p>
        </w:tc>
        <w:tc>
          <w:tcPr>
            <w:tcW w:w="642" w:type="pct"/>
          </w:tcPr>
          <w:p w14:paraId="08270261" w14:textId="77777777" w:rsidR="002E006F" w:rsidRPr="000C5CE6" w:rsidRDefault="002E006F" w:rsidP="000F61ED">
            <w:pPr>
              <w:rPr>
                <w:rFonts w:ascii="Arial Narrow" w:hAnsi="Arial Narrow" w:cs="Arial"/>
                <w:bCs w:val="0"/>
                <w:color w:val="000000"/>
                <w:sz w:val="16"/>
                <w:szCs w:val="16"/>
              </w:rPr>
            </w:pPr>
          </w:p>
        </w:tc>
      </w:tr>
      <w:tr w:rsidR="002E006F" w:rsidRPr="000C5CE6" w14:paraId="48D17F6A" w14:textId="77777777" w:rsidTr="000F61ED">
        <w:tblPrEx>
          <w:tblLook w:val="04A0" w:firstRow="1" w:lastRow="0" w:firstColumn="1" w:lastColumn="0" w:noHBand="0" w:noVBand="1"/>
        </w:tblPrEx>
        <w:trPr>
          <w:cantSplit/>
          <w:jc w:val="center"/>
        </w:trPr>
        <w:tc>
          <w:tcPr>
            <w:tcW w:w="1339" w:type="pct"/>
            <w:gridSpan w:val="3"/>
          </w:tcPr>
          <w:p w14:paraId="307437A1"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 development encourage healthy lifestyles and reduce risks to health?</w:t>
            </w:r>
          </w:p>
        </w:tc>
        <w:tc>
          <w:tcPr>
            <w:tcW w:w="1331" w:type="pct"/>
            <w:gridSpan w:val="3"/>
          </w:tcPr>
          <w:p w14:paraId="7586D7BA"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Yes</w:t>
            </w:r>
          </w:p>
        </w:tc>
        <w:tc>
          <w:tcPr>
            <w:tcW w:w="974" w:type="pct"/>
            <w:gridSpan w:val="4"/>
          </w:tcPr>
          <w:p w14:paraId="510EFC45"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 xml:space="preserve">Included within How to stay safe documents and patient information at each bed </w:t>
            </w:r>
          </w:p>
        </w:tc>
        <w:tc>
          <w:tcPr>
            <w:tcW w:w="714" w:type="pct"/>
            <w:gridSpan w:val="4"/>
          </w:tcPr>
          <w:p w14:paraId="46F0CD17"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 xml:space="preserve">Yes – improve patient safety and prevent patient harm </w:t>
            </w:r>
          </w:p>
        </w:tc>
        <w:tc>
          <w:tcPr>
            <w:tcW w:w="642" w:type="pct"/>
          </w:tcPr>
          <w:p w14:paraId="1EF8C605" w14:textId="77777777" w:rsidR="002E006F" w:rsidRPr="000C5CE6" w:rsidRDefault="002E006F" w:rsidP="000F61ED">
            <w:pPr>
              <w:rPr>
                <w:rFonts w:ascii="Arial Narrow" w:hAnsi="Arial Narrow" w:cs="Arial"/>
                <w:bCs w:val="0"/>
                <w:color w:val="000000"/>
                <w:sz w:val="16"/>
                <w:szCs w:val="16"/>
              </w:rPr>
            </w:pPr>
          </w:p>
        </w:tc>
      </w:tr>
      <w:tr w:rsidR="002E006F" w:rsidRPr="000C5CE6" w14:paraId="7740D8A5" w14:textId="77777777" w:rsidTr="000F61ED">
        <w:tblPrEx>
          <w:tblLook w:val="04A0" w:firstRow="1" w:lastRow="0" w:firstColumn="1" w:lastColumn="0" w:noHBand="0" w:noVBand="1"/>
        </w:tblPrEx>
        <w:trPr>
          <w:cantSplit/>
          <w:jc w:val="center"/>
        </w:trPr>
        <w:tc>
          <w:tcPr>
            <w:tcW w:w="1339" w:type="pct"/>
            <w:gridSpan w:val="3"/>
          </w:tcPr>
          <w:p w14:paraId="2811D7EE"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 development impact on transport?</w:t>
            </w:r>
          </w:p>
          <w:p w14:paraId="4F9597CE"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What are the implications of this?</w:t>
            </w:r>
          </w:p>
        </w:tc>
        <w:tc>
          <w:tcPr>
            <w:tcW w:w="1331" w:type="pct"/>
            <w:gridSpan w:val="3"/>
          </w:tcPr>
          <w:p w14:paraId="38EDAB94"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No</w:t>
            </w:r>
          </w:p>
        </w:tc>
        <w:tc>
          <w:tcPr>
            <w:tcW w:w="974" w:type="pct"/>
            <w:gridSpan w:val="4"/>
          </w:tcPr>
          <w:p w14:paraId="10DC1C45"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67352BD3" w14:textId="77777777" w:rsidR="002E006F" w:rsidRPr="000C5CE6" w:rsidRDefault="002E006F" w:rsidP="000F61ED">
            <w:pPr>
              <w:rPr>
                <w:rFonts w:ascii="Arial Narrow" w:hAnsi="Arial Narrow" w:cs="Arial"/>
                <w:bCs w:val="0"/>
                <w:color w:val="000000"/>
                <w:sz w:val="16"/>
                <w:szCs w:val="16"/>
              </w:rPr>
            </w:pPr>
          </w:p>
        </w:tc>
        <w:tc>
          <w:tcPr>
            <w:tcW w:w="642" w:type="pct"/>
          </w:tcPr>
          <w:p w14:paraId="7DDF36A8" w14:textId="77777777" w:rsidR="002E006F" w:rsidRPr="000C5CE6" w:rsidRDefault="002E006F" w:rsidP="000F61ED">
            <w:pPr>
              <w:rPr>
                <w:rFonts w:ascii="Arial Narrow" w:hAnsi="Arial Narrow" w:cs="Arial"/>
                <w:bCs w:val="0"/>
                <w:color w:val="000000"/>
                <w:sz w:val="16"/>
                <w:szCs w:val="16"/>
              </w:rPr>
            </w:pPr>
          </w:p>
        </w:tc>
      </w:tr>
      <w:tr w:rsidR="002E006F" w:rsidRPr="000C5CE6" w14:paraId="036359F0" w14:textId="77777777" w:rsidTr="000F61ED">
        <w:tblPrEx>
          <w:tblLook w:val="04A0" w:firstRow="1" w:lastRow="0" w:firstColumn="1" w:lastColumn="0" w:noHBand="0" w:noVBand="1"/>
        </w:tblPrEx>
        <w:trPr>
          <w:cantSplit/>
          <w:jc w:val="center"/>
        </w:trPr>
        <w:tc>
          <w:tcPr>
            <w:tcW w:w="1339" w:type="pct"/>
            <w:gridSpan w:val="3"/>
          </w:tcPr>
          <w:p w14:paraId="0DC41779"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Does the service, leaflet or policy/development impact on housing, housing needs, homelessness, or a person’s ability to remain at home?</w:t>
            </w:r>
          </w:p>
        </w:tc>
        <w:tc>
          <w:tcPr>
            <w:tcW w:w="1331" w:type="pct"/>
            <w:gridSpan w:val="3"/>
          </w:tcPr>
          <w:p w14:paraId="36C5353B" w14:textId="77777777" w:rsidR="002E006F" w:rsidRPr="000C5CE6" w:rsidRDefault="002E006F" w:rsidP="000F61ED">
            <w:pPr>
              <w:rPr>
                <w:rFonts w:ascii="Arial Narrow" w:hAnsi="Arial Narrow" w:cs="Arial"/>
                <w:bCs w:val="0"/>
                <w:color w:val="000000"/>
                <w:sz w:val="16"/>
                <w:szCs w:val="16"/>
              </w:rPr>
            </w:pPr>
            <w:r w:rsidRPr="000C5CE6">
              <w:rPr>
                <w:rFonts w:ascii="Arial Narrow" w:hAnsi="Arial Narrow" w:cs="Arial"/>
                <w:bCs w:val="0"/>
                <w:color w:val="000000"/>
                <w:sz w:val="16"/>
                <w:szCs w:val="16"/>
              </w:rPr>
              <w:t>No</w:t>
            </w:r>
          </w:p>
        </w:tc>
        <w:tc>
          <w:tcPr>
            <w:tcW w:w="974" w:type="pct"/>
            <w:gridSpan w:val="4"/>
          </w:tcPr>
          <w:p w14:paraId="4697DBB8" w14:textId="77777777" w:rsidR="002E006F" w:rsidRPr="000C5CE6" w:rsidRDefault="002E006F" w:rsidP="000F61ED">
            <w:pPr>
              <w:rPr>
                <w:rFonts w:ascii="Arial Narrow" w:hAnsi="Arial Narrow" w:cs="Arial"/>
                <w:bCs w:val="0"/>
                <w:color w:val="000000"/>
                <w:sz w:val="16"/>
                <w:szCs w:val="16"/>
              </w:rPr>
            </w:pPr>
          </w:p>
        </w:tc>
        <w:tc>
          <w:tcPr>
            <w:tcW w:w="714" w:type="pct"/>
            <w:gridSpan w:val="4"/>
          </w:tcPr>
          <w:p w14:paraId="4AD50007" w14:textId="77777777" w:rsidR="002E006F" w:rsidRPr="000C5CE6" w:rsidRDefault="002E006F" w:rsidP="000F61ED">
            <w:pPr>
              <w:rPr>
                <w:rFonts w:ascii="Arial Narrow" w:hAnsi="Arial Narrow" w:cs="Arial"/>
                <w:bCs w:val="0"/>
                <w:color w:val="000000"/>
                <w:sz w:val="16"/>
                <w:szCs w:val="16"/>
              </w:rPr>
            </w:pPr>
          </w:p>
        </w:tc>
        <w:tc>
          <w:tcPr>
            <w:tcW w:w="642" w:type="pct"/>
          </w:tcPr>
          <w:p w14:paraId="686EF2BE" w14:textId="77777777" w:rsidR="002E006F" w:rsidRPr="000C5CE6" w:rsidRDefault="002E006F" w:rsidP="000F61ED">
            <w:pPr>
              <w:rPr>
                <w:rFonts w:ascii="Arial Narrow" w:hAnsi="Arial Narrow" w:cs="Arial"/>
                <w:bCs w:val="0"/>
                <w:color w:val="000000"/>
                <w:sz w:val="16"/>
                <w:szCs w:val="16"/>
              </w:rPr>
            </w:pPr>
          </w:p>
        </w:tc>
      </w:tr>
      <w:tr w:rsidR="002E006F" w:rsidRPr="000C5CE6" w14:paraId="683EA5A0" w14:textId="77777777" w:rsidTr="000F61ED">
        <w:tblPrEx>
          <w:tblLook w:val="04A0" w:firstRow="1" w:lastRow="0" w:firstColumn="1" w:lastColumn="0" w:noHBand="0" w:noVBand="1"/>
        </w:tblPrEx>
        <w:trPr>
          <w:cantSplit/>
          <w:jc w:val="center"/>
        </w:trPr>
        <w:tc>
          <w:tcPr>
            <w:tcW w:w="1339" w:type="pct"/>
            <w:gridSpan w:val="3"/>
            <w:tcBorders>
              <w:bottom w:val="single" w:sz="4" w:space="0" w:color="000000"/>
            </w:tcBorders>
          </w:tcPr>
          <w:p w14:paraId="157E09C8" w14:textId="77777777" w:rsidR="002E006F" w:rsidRPr="000C5CE6" w:rsidRDefault="002E006F" w:rsidP="000F61ED">
            <w:pPr>
              <w:rPr>
                <w:rFonts w:ascii="Arial Narrow" w:hAnsi="Arial Narrow" w:cs="Arial"/>
                <w:bCs w:val="0"/>
                <w:sz w:val="16"/>
                <w:szCs w:val="16"/>
              </w:rPr>
            </w:pPr>
            <w:r w:rsidRPr="000C5CE6">
              <w:rPr>
                <w:bCs w:val="0"/>
                <w:color w:val="000000"/>
                <w:sz w:val="36"/>
              </w:rPr>
              <w:lastRenderedPageBreak/>
              <w:br w:type="page"/>
            </w:r>
            <w:r w:rsidRPr="000C5CE6">
              <w:rPr>
                <w:rFonts w:ascii="Arial Narrow" w:hAnsi="Arial Narrow" w:cs="Arial"/>
                <w:bCs w:val="0"/>
                <w:sz w:val="16"/>
                <w:szCs w:val="16"/>
              </w:rPr>
              <w:t>Are there any groups for whom this policy/ service/leaflet would have an impact? Is it an adverse/negative impact? Does it or could it (or is the perception that it could exclude disadvantaged or marginalised groups?</w:t>
            </w:r>
          </w:p>
        </w:tc>
        <w:tc>
          <w:tcPr>
            <w:tcW w:w="1331" w:type="pct"/>
            <w:gridSpan w:val="3"/>
            <w:tcBorders>
              <w:bottom w:val="single" w:sz="4" w:space="0" w:color="000000"/>
            </w:tcBorders>
          </w:tcPr>
          <w:p w14:paraId="1F49FCF9" w14:textId="77777777" w:rsidR="002E006F" w:rsidRPr="000C5CE6" w:rsidRDefault="002E006F" w:rsidP="000F61ED">
            <w:pPr>
              <w:rPr>
                <w:rFonts w:ascii="Arial Narrow" w:hAnsi="Arial Narrow" w:cs="Arial"/>
                <w:bCs w:val="0"/>
                <w:sz w:val="16"/>
                <w:szCs w:val="16"/>
              </w:rPr>
            </w:pPr>
            <w:r w:rsidRPr="000C5CE6">
              <w:rPr>
                <w:rFonts w:ascii="Arial Narrow" w:hAnsi="Arial Narrow" w:cs="Arial"/>
                <w:sz w:val="16"/>
                <w:szCs w:val="16"/>
              </w:rPr>
              <w:t>None identified</w:t>
            </w:r>
          </w:p>
        </w:tc>
        <w:tc>
          <w:tcPr>
            <w:tcW w:w="974" w:type="pct"/>
            <w:gridSpan w:val="4"/>
            <w:tcBorders>
              <w:bottom w:val="single" w:sz="4" w:space="0" w:color="000000"/>
            </w:tcBorders>
          </w:tcPr>
          <w:p w14:paraId="747AA296" w14:textId="77777777" w:rsidR="002E006F" w:rsidRPr="000C5CE6" w:rsidRDefault="002E006F" w:rsidP="000F61ED">
            <w:pPr>
              <w:rPr>
                <w:rFonts w:ascii="Arial Narrow" w:hAnsi="Arial Narrow" w:cs="Arial"/>
                <w:bCs w:val="0"/>
                <w:sz w:val="16"/>
                <w:szCs w:val="16"/>
              </w:rPr>
            </w:pPr>
          </w:p>
        </w:tc>
        <w:tc>
          <w:tcPr>
            <w:tcW w:w="714" w:type="pct"/>
            <w:gridSpan w:val="4"/>
            <w:tcBorders>
              <w:bottom w:val="single" w:sz="4" w:space="0" w:color="000000"/>
            </w:tcBorders>
          </w:tcPr>
          <w:p w14:paraId="1FBC554C" w14:textId="77777777" w:rsidR="002E006F" w:rsidRPr="000C5CE6" w:rsidRDefault="002E006F" w:rsidP="000F61ED">
            <w:pPr>
              <w:rPr>
                <w:rFonts w:ascii="Arial Narrow" w:hAnsi="Arial Narrow" w:cs="Arial"/>
                <w:bCs w:val="0"/>
                <w:sz w:val="16"/>
                <w:szCs w:val="16"/>
              </w:rPr>
            </w:pPr>
          </w:p>
        </w:tc>
        <w:tc>
          <w:tcPr>
            <w:tcW w:w="642" w:type="pct"/>
            <w:tcBorders>
              <w:bottom w:val="single" w:sz="4" w:space="0" w:color="000000"/>
            </w:tcBorders>
          </w:tcPr>
          <w:p w14:paraId="17210161" w14:textId="77777777" w:rsidR="002E006F" w:rsidRPr="000C5CE6" w:rsidRDefault="002E006F" w:rsidP="000F61ED">
            <w:pPr>
              <w:rPr>
                <w:rFonts w:ascii="Arial Narrow" w:hAnsi="Arial Narrow" w:cs="Arial"/>
                <w:bCs w:val="0"/>
                <w:sz w:val="16"/>
                <w:szCs w:val="16"/>
              </w:rPr>
            </w:pPr>
          </w:p>
        </w:tc>
      </w:tr>
      <w:tr w:rsidR="002E006F" w:rsidRPr="000C5CE6" w14:paraId="58CB13AD" w14:textId="77777777" w:rsidTr="000F61ED">
        <w:tblPrEx>
          <w:tblLook w:val="04A0" w:firstRow="1" w:lastRow="0" w:firstColumn="1" w:lastColumn="0" w:noHBand="0" w:noVBand="1"/>
        </w:tblPrEx>
        <w:trPr>
          <w:cantSplit/>
          <w:jc w:val="center"/>
        </w:trPr>
        <w:tc>
          <w:tcPr>
            <w:tcW w:w="1339" w:type="pct"/>
            <w:gridSpan w:val="3"/>
            <w:tcBorders>
              <w:bottom w:val="single" w:sz="4" w:space="0" w:color="000000"/>
            </w:tcBorders>
          </w:tcPr>
          <w:p w14:paraId="4664DE97" w14:textId="77777777" w:rsidR="002E006F" w:rsidRPr="000C5CE6" w:rsidRDefault="002E006F" w:rsidP="000F61ED">
            <w:pPr>
              <w:rPr>
                <w:rFonts w:ascii="Arial Narrow" w:hAnsi="Arial Narrow"/>
                <w:bCs w:val="0"/>
                <w:color w:val="000000"/>
                <w:sz w:val="16"/>
                <w:szCs w:val="16"/>
              </w:rPr>
            </w:pPr>
            <w:r w:rsidRPr="000C5CE6">
              <w:rPr>
                <w:rFonts w:ascii="Arial Narrow" w:hAnsi="Arial Narrow"/>
                <w:bCs w:val="0"/>
                <w:color w:val="000000"/>
                <w:sz w:val="16"/>
                <w:szCs w:val="16"/>
              </w:rPr>
              <w:t>Does the policy/development promote access to services and facilities for any group in particular?</w:t>
            </w:r>
          </w:p>
        </w:tc>
        <w:tc>
          <w:tcPr>
            <w:tcW w:w="1331" w:type="pct"/>
            <w:gridSpan w:val="3"/>
            <w:tcBorders>
              <w:bottom w:val="single" w:sz="4" w:space="0" w:color="000000"/>
            </w:tcBorders>
          </w:tcPr>
          <w:p w14:paraId="26BC1D2D" w14:textId="77777777" w:rsidR="002E006F" w:rsidRPr="000C5CE6" w:rsidRDefault="002E006F" w:rsidP="000F61ED">
            <w:pPr>
              <w:rPr>
                <w:rFonts w:ascii="Arial Narrow" w:hAnsi="Arial Narrow" w:cs="Arial"/>
                <w:bCs w:val="0"/>
                <w:sz w:val="16"/>
                <w:szCs w:val="16"/>
              </w:rPr>
            </w:pPr>
            <w:r w:rsidRPr="000C5CE6">
              <w:rPr>
                <w:rFonts w:ascii="Arial Narrow" w:hAnsi="Arial Narrow" w:cs="Arial"/>
                <w:bCs w:val="0"/>
                <w:sz w:val="16"/>
                <w:szCs w:val="16"/>
              </w:rPr>
              <w:t xml:space="preserve">None </w:t>
            </w:r>
            <w:proofErr w:type="gramStart"/>
            <w:r w:rsidRPr="000C5CE6">
              <w:rPr>
                <w:rFonts w:ascii="Arial Narrow" w:hAnsi="Arial Narrow" w:cs="Arial"/>
                <w:bCs w:val="0"/>
                <w:sz w:val="16"/>
                <w:szCs w:val="16"/>
              </w:rPr>
              <w:t>specific ,</w:t>
            </w:r>
            <w:proofErr w:type="gramEnd"/>
            <w:r w:rsidRPr="000C5CE6">
              <w:rPr>
                <w:rFonts w:ascii="Arial Narrow" w:hAnsi="Arial Narrow" w:cs="Arial"/>
                <w:bCs w:val="0"/>
                <w:sz w:val="16"/>
                <w:szCs w:val="16"/>
              </w:rPr>
              <w:t xml:space="preserve"> applies to all groups</w:t>
            </w:r>
          </w:p>
        </w:tc>
        <w:tc>
          <w:tcPr>
            <w:tcW w:w="974" w:type="pct"/>
            <w:gridSpan w:val="4"/>
            <w:tcBorders>
              <w:bottom w:val="single" w:sz="4" w:space="0" w:color="000000"/>
            </w:tcBorders>
          </w:tcPr>
          <w:p w14:paraId="19B8046B" w14:textId="77777777" w:rsidR="002E006F" w:rsidRPr="000C5CE6" w:rsidRDefault="002E006F" w:rsidP="000F61ED">
            <w:pPr>
              <w:rPr>
                <w:rFonts w:ascii="Arial Narrow" w:hAnsi="Arial Narrow" w:cs="Arial"/>
                <w:bCs w:val="0"/>
                <w:sz w:val="16"/>
                <w:szCs w:val="16"/>
              </w:rPr>
            </w:pPr>
          </w:p>
        </w:tc>
        <w:tc>
          <w:tcPr>
            <w:tcW w:w="714" w:type="pct"/>
            <w:gridSpan w:val="4"/>
            <w:tcBorders>
              <w:bottom w:val="single" w:sz="4" w:space="0" w:color="000000"/>
            </w:tcBorders>
          </w:tcPr>
          <w:p w14:paraId="438E31C5" w14:textId="77777777" w:rsidR="002E006F" w:rsidRPr="000C5CE6" w:rsidRDefault="002E006F" w:rsidP="000F61ED">
            <w:pPr>
              <w:rPr>
                <w:rFonts w:ascii="Arial Narrow" w:hAnsi="Arial Narrow" w:cs="Arial"/>
                <w:bCs w:val="0"/>
                <w:sz w:val="16"/>
                <w:szCs w:val="16"/>
              </w:rPr>
            </w:pPr>
          </w:p>
        </w:tc>
        <w:tc>
          <w:tcPr>
            <w:tcW w:w="642" w:type="pct"/>
            <w:tcBorders>
              <w:bottom w:val="single" w:sz="4" w:space="0" w:color="000000"/>
            </w:tcBorders>
          </w:tcPr>
          <w:p w14:paraId="4118358C" w14:textId="77777777" w:rsidR="002E006F" w:rsidRPr="000C5CE6" w:rsidRDefault="002E006F" w:rsidP="000F61ED">
            <w:pPr>
              <w:rPr>
                <w:rFonts w:ascii="Arial Narrow" w:hAnsi="Arial Narrow" w:cs="Arial"/>
                <w:bCs w:val="0"/>
                <w:sz w:val="16"/>
                <w:szCs w:val="16"/>
              </w:rPr>
            </w:pPr>
          </w:p>
        </w:tc>
      </w:tr>
      <w:tr w:rsidR="002E006F" w:rsidRPr="000C5CE6" w14:paraId="4E6289AE" w14:textId="77777777" w:rsidTr="000F61ED">
        <w:tblPrEx>
          <w:tblLook w:val="04A0" w:firstRow="1" w:lastRow="0" w:firstColumn="1" w:lastColumn="0" w:noHBand="0" w:noVBand="1"/>
        </w:tblPrEx>
        <w:trPr>
          <w:cantSplit/>
          <w:jc w:val="center"/>
        </w:trPr>
        <w:tc>
          <w:tcPr>
            <w:tcW w:w="1339" w:type="pct"/>
            <w:gridSpan w:val="3"/>
            <w:tcBorders>
              <w:bottom w:val="single" w:sz="4" w:space="0" w:color="000000"/>
            </w:tcBorders>
          </w:tcPr>
          <w:p w14:paraId="01BEA932" w14:textId="77777777" w:rsidR="002E006F" w:rsidRPr="000C5CE6" w:rsidRDefault="002E006F" w:rsidP="000F61ED">
            <w:pPr>
              <w:rPr>
                <w:rFonts w:ascii="Arial Narrow" w:hAnsi="Arial Narrow"/>
                <w:bCs w:val="0"/>
                <w:color w:val="000000"/>
                <w:sz w:val="16"/>
                <w:szCs w:val="16"/>
              </w:rPr>
            </w:pPr>
            <w:r w:rsidRPr="000C5CE6">
              <w:rPr>
                <w:rFonts w:ascii="Arial Narrow" w:hAnsi="Arial Narrow"/>
                <w:bCs w:val="0"/>
                <w:color w:val="000000"/>
                <w:sz w:val="16"/>
                <w:szCs w:val="16"/>
              </w:rPr>
              <w:t>Does the service, leaflet or policy/development impact on the environment</w:t>
            </w:r>
          </w:p>
          <w:p w14:paraId="0A6D925F" w14:textId="77777777" w:rsidR="002E006F" w:rsidRPr="000C5CE6" w:rsidRDefault="002E006F" w:rsidP="000F61ED">
            <w:pPr>
              <w:numPr>
                <w:ilvl w:val="0"/>
                <w:numId w:val="16"/>
              </w:numPr>
              <w:spacing w:before="120" w:after="120"/>
              <w:rPr>
                <w:rFonts w:ascii="Arial Narrow" w:hAnsi="Arial Narrow"/>
                <w:bCs w:val="0"/>
                <w:color w:val="000000"/>
                <w:sz w:val="16"/>
                <w:szCs w:val="16"/>
              </w:rPr>
            </w:pPr>
            <w:r w:rsidRPr="000C5CE6">
              <w:rPr>
                <w:rFonts w:ascii="Arial Narrow" w:hAnsi="Arial Narrow"/>
                <w:bCs w:val="0"/>
                <w:color w:val="000000"/>
                <w:sz w:val="16"/>
                <w:szCs w:val="16"/>
              </w:rPr>
              <w:t>During development</w:t>
            </w:r>
          </w:p>
          <w:p w14:paraId="28950AA0" w14:textId="77777777" w:rsidR="002E006F" w:rsidRPr="000C5CE6" w:rsidRDefault="002E006F" w:rsidP="000F61ED">
            <w:pPr>
              <w:numPr>
                <w:ilvl w:val="0"/>
                <w:numId w:val="16"/>
              </w:numPr>
              <w:spacing w:before="120" w:after="120"/>
              <w:rPr>
                <w:rFonts w:ascii="Arial Narrow" w:hAnsi="Arial Narrow"/>
                <w:bCs w:val="0"/>
                <w:color w:val="000000"/>
                <w:sz w:val="16"/>
                <w:szCs w:val="16"/>
              </w:rPr>
            </w:pPr>
            <w:r w:rsidRPr="000C5CE6">
              <w:rPr>
                <w:rFonts w:ascii="Arial Narrow" w:hAnsi="Arial Narrow"/>
                <w:bCs w:val="0"/>
                <w:color w:val="000000"/>
                <w:sz w:val="16"/>
                <w:szCs w:val="16"/>
              </w:rPr>
              <w:t>At implementation?</w:t>
            </w:r>
          </w:p>
        </w:tc>
        <w:tc>
          <w:tcPr>
            <w:tcW w:w="1331" w:type="pct"/>
            <w:gridSpan w:val="3"/>
            <w:tcBorders>
              <w:bottom w:val="single" w:sz="4" w:space="0" w:color="000000"/>
            </w:tcBorders>
          </w:tcPr>
          <w:p w14:paraId="78C56ADD" w14:textId="77777777" w:rsidR="002E006F" w:rsidRPr="000C5CE6" w:rsidRDefault="002E006F" w:rsidP="000F61ED">
            <w:pPr>
              <w:rPr>
                <w:rFonts w:ascii="Arial Narrow" w:hAnsi="Arial Narrow" w:cs="Arial"/>
                <w:bCs w:val="0"/>
                <w:sz w:val="16"/>
                <w:szCs w:val="16"/>
              </w:rPr>
            </w:pPr>
            <w:r w:rsidRPr="000C5CE6">
              <w:rPr>
                <w:rFonts w:ascii="Arial Narrow" w:hAnsi="Arial Narrow" w:cs="Arial"/>
                <w:bCs w:val="0"/>
                <w:sz w:val="16"/>
                <w:szCs w:val="16"/>
              </w:rPr>
              <w:t>No</w:t>
            </w:r>
          </w:p>
        </w:tc>
        <w:tc>
          <w:tcPr>
            <w:tcW w:w="974" w:type="pct"/>
            <w:gridSpan w:val="4"/>
            <w:tcBorders>
              <w:bottom w:val="single" w:sz="4" w:space="0" w:color="000000"/>
            </w:tcBorders>
          </w:tcPr>
          <w:p w14:paraId="48A18D91" w14:textId="77777777" w:rsidR="002E006F" w:rsidRPr="000C5CE6" w:rsidRDefault="002E006F" w:rsidP="000F61ED">
            <w:pPr>
              <w:rPr>
                <w:rFonts w:ascii="Arial Narrow" w:hAnsi="Arial Narrow" w:cs="Arial"/>
                <w:bCs w:val="0"/>
                <w:sz w:val="16"/>
                <w:szCs w:val="16"/>
              </w:rPr>
            </w:pPr>
          </w:p>
        </w:tc>
        <w:tc>
          <w:tcPr>
            <w:tcW w:w="714" w:type="pct"/>
            <w:gridSpan w:val="4"/>
            <w:tcBorders>
              <w:bottom w:val="single" w:sz="4" w:space="0" w:color="000000"/>
            </w:tcBorders>
          </w:tcPr>
          <w:p w14:paraId="78C0DDD9" w14:textId="77777777" w:rsidR="002E006F" w:rsidRPr="000C5CE6" w:rsidRDefault="002E006F" w:rsidP="000F61ED">
            <w:pPr>
              <w:rPr>
                <w:rFonts w:ascii="Arial Narrow" w:hAnsi="Arial Narrow" w:cs="Arial"/>
                <w:bCs w:val="0"/>
                <w:sz w:val="16"/>
                <w:szCs w:val="16"/>
              </w:rPr>
            </w:pPr>
          </w:p>
        </w:tc>
        <w:tc>
          <w:tcPr>
            <w:tcW w:w="642" w:type="pct"/>
            <w:tcBorders>
              <w:bottom w:val="single" w:sz="4" w:space="0" w:color="000000"/>
            </w:tcBorders>
          </w:tcPr>
          <w:p w14:paraId="1A0BB66F" w14:textId="77777777" w:rsidR="002E006F" w:rsidRPr="000C5CE6" w:rsidRDefault="002E006F" w:rsidP="000F61ED">
            <w:pPr>
              <w:rPr>
                <w:rFonts w:ascii="Arial Narrow" w:hAnsi="Arial Narrow" w:cs="Arial"/>
                <w:bCs w:val="0"/>
                <w:sz w:val="16"/>
                <w:szCs w:val="16"/>
              </w:rPr>
            </w:pPr>
          </w:p>
        </w:tc>
      </w:tr>
      <w:tr w:rsidR="002E006F" w:rsidRPr="000C5CE6" w14:paraId="3FE399E8" w14:textId="77777777" w:rsidTr="000F61ED">
        <w:tblPrEx>
          <w:tblLook w:val="04A0" w:firstRow="1" w:lastRow="0" w:firstColumn="1" w:lastColumn="0" w:noHBand="0" w:noVBand="1"/>
        </w:tblPrEx>
        <w:trPr>
          <w:cantSplit/>
          <w:jc w:val="center"/>
        </w:trPr>
        <w:tc>
          <w:tcPr>
            <w:tcW w:w="5000" w:type="pct"/>
            <w:gridSpan w:val="15"/>
            <w:shd w:val="clear" w:color="auto" w:fill="D9D9D9"/>
          </w:tcPr>
          <w:p w14:paraId="3548AB62" w14:textId="77777777" w:rsidR="002E006F" w:rsidRPr="000C5CE6" w:rsidRDefault="002E006F" w:rsidP="000F61ED">
            <w:pPr>
              <w:jc w:val="center"/>
              <w:rPr>
                <w:rFonts w:cs="Arial"/>
                <w:b/>
                <w:bCs w:val="0"/>
                <w:sz w:val="18"/>
                <w:szCs w:val="18"/>
              </w:rPr>
            </w:pPr>
            <w:r w:rsidRPr="000C5CE6">
              <w:rPr>
                <w:rFonts w:cs="Arial"/>
                <w:b/>
                <w:bCs w:val="0"/>
                <w:sz w:val="18"/>
                <w:szCs w:val="18"/>
              </w:rPr>
              <w:t>ACTION:</w:t>
            </w:r>
          </w:p>
        </w:tc>
      </w:tr>
      <w:tr w:rsidR="002E006F" w:rsidRPr="000C5CE6" w14:paraId="03212DC6" w14:textId="77777777" w:rsidTr="000F61ED">
        <w:tblPrEx>
          <w:tblLook w:val="04A0" w:firstRow="1" w:lastRow="0" w:firstColumn="1" w:lastColumn="0" w:noHBand="0" w:noVBand="1"/>
        </w:tblPrEx>
        <w:trPr>
          <w:cantSplit/>
          <w:jc w:val="center"/>
        </w:trPr>
        <w:tc>
          <w:tcPr>
            <w:tcW w:w="2674" w:type="pct"/>
            <w:gridSpan w:val="7"/>
            <w:tcBorders>
              <w:right w:val="single" w:sz="4" w:space="0" w:color="auto"/>
            </w:tcBorders>
          </w:tcPr>
          <w:p w14:paraId="199421D1"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Please identify if you are now required to carry out a Full Equality Analysis</w:t>
            </w:r>
          </w:p>
        </w:tc>
        <w:tc>
          <w:tcPr>
            <w:tcW w:w="644" w:type="pct"/>
            <w:gridSpan w:val="2"/>
            <w:tcBorders>
              <w:left w:val="single" w:sz="4" w:space="0" w:color="auto"/>
            </w:tcBorders>
          </w:tcPr>
          <w:p w14:paraId="62E1FBCE" w14:textId="77777777" w:rsidR="002E006F" w:rsidRPr="000C5CE6" w:rsidRDefault="002E006F" w:rsidP="000F61ED">
            <w:pPr>
              <w:jc w:val="center"/>
              <w:rPr>
                <w:rFonts w:ascii="Arial Narrow" w:hAnsi="Arial Narrow" w:cs="Arial"/>
                <w:b/>
                <w:bCs w:val="0"/>
                <w:strike/>
                <w:sz w:val="18"/>
                <w:szCs w:val="18"/>
              </w:rPr>
            </w:pPr>
            <w:r w:rsidRPr="000C5CE6">
              <w:rPr>
                <w:rFonts w:ascii="Arial Narrow" w:hAnsi="Arial Narrow" w:cs="Arial"/>
                <w:b/>
                <w:bCs w:val="0"/>
                <w:strike/>
                <w:sz w:val="18"/>
                <w:szCs w:val="18"/>
              </w:rPr>
              <w:t>Yes</w:t>
            </w:r>
          </w:p>
        </w:tc>
        <w:tc>
          <w:tcPr>
            <w:tcW w:w="573" w:type="pct"/>
            <w:gridSpan w:val="2"/>
          </w:tcPr>
          <w:p w14:paraId="12860679"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
                <w:bCs w:val="0"/>
                <w:sz w:val="18"/>
                <w:szCs w:val="18"/>
              </w:rPr>
              <w:t>No</w:t>
            </w:r>
          </w:p>
        </w:tc>
        <w:tc>
          <w:tcPr>
            <w:tcW w:w="1109" w:type="pct"/>
            <w:gridSpan w:val="4"/>
          </w:tcPr>
          <w:p w14:paraId="3AB3145E"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(Please delete as appropriate)</w:t>
            </w:r>
          </w:p>
        </w:tc>
      </w:tr>
      <w:tr w:rsidR="002E006F" w:rsidRPr="000C5CE6" w14:paraId="1F8C6D41" w14:textId="77777777" w:rsidTr="000F61ED">
        <w:tblPrEx>
          <w:tblLook w:val="04A0" w:firstRow="1" w:lastRow="0" w:firstColumn="1" w:lastColumn="0" w:noHBand="0" w:noVBand="1"/>
        </w:tblPrEx>
        <w:trPr>
          <w:cantSplit/>
          <w:trHeight w:val="423"/>
          <w:jc w:val="center"/>
        </w:trPr>
        <w:tc>
          <w:tcPr>
            <w:tcW w:w="1154" w:type="pct"/>
            <w:gridSpan w:val="2"/>
          </w:tcPr>
          <w:p w14:paraId="2AE5AD51"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Name of Author:</w:t>
            </w:r>
          </w:p>
          <w:p w14:paraId="4836D298"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Signature of Author:</w:t>
            </w:r>
          </w:p>
        </w:tc>
        <w:tc>
          <w:tcPr>
            <w:tcW w:w="2164" w:type="pct"/>
            <w:gridSpan w:val="7"/>
          </w:tcPr>
          <w:p w14:paraId="7A39FDB6" w14:textId="34A4446D" w:rsidR="002E006F" w:rsidRPr="000C5CE6" w:rsidRDefault="006E777B" w:rsidP="000F61ED">
            <w:pPr>
              <w:rPr>
                <w:rFonts w:ascii="Arial Narrow" w:hAnsi="Arial Narrow" w:cs="Arial"/>
                <w:b/>
                <w:bCs w:val="0"/>
                <w:sz w:val="18"/>
                <w:szCs w:val="18"/>
              </w:rPr>
            </w:pPr>
            <w:r>
              <w:rPr>
                <w:rFonts w:ascii="Arial Narrow" w:hAnsi="Arial Narrow" w:cs="Arial"/>
                <w:b/>
                <w:bCs w:val="0"/>
                <w:sz w:val="18"/>
                <w:szCs w:val="18"/>
              </w:rPr>
              <w:t>Jennifer Walters</w:t>
            </w:r>
          </w:p>
        </w:tc>
        <w:tc>
          <w:tcPr>
            <w:tcW w:w="874" w:type="pct"/>
            <w:gridSpan w:val="4"/>
            <w:tcBorders>
              <w:right w:val="single" w:sz="4" w:space="0" w:color="auto"/>
            </w:tcBorders>
          </w:tcPr>
          <w:p w14:paraId="1DC72FEC" w14:textId="77777777" w:rsidR="002E006F" w:rsidRPr="000C5CE6" w:rsidRDefault="002E006F" w:rsidP="000F61ED">
            <w:pPr>
              <w:jc w:val="center"/>
              <w:rPr>
                <w:rFonts w:ascii="Arial Narrow" w:hAnsi="Arial Narrow" w:cs="Arial"/>
                <w:b/>
                <w:bCs w:val="0"/>
                <w:sz w:val="18"/>
                <w:szCs w:val="18"/>
              </w:rPr>
            </w:pPr>
            <w:r w:rsidRPr="000C5CE6">
              <w:rPr>
                <w:rFonts w:ascii="Arial Narrow" w:hAnsi="Arial Narrow" w:cs="Arial"/>
                <w:b/>
                <w:bCs w:val="0"/>
                <w:sz w:val="18"/>
                <w:szCs w:val="18"/>
              </w:rPr>
              <w:t>Date Signed:</w:t>
            </w:r>
          </w:p>
        </w:tc>
        <w:tc>
          <w:tcPr>
            <w:tcW w:w="808" w:type="pct"/>
            <w:gridSpan w:val="2"/>
            <w:tcBorders>
              <w:left w:val="single" w:sz="4" w:space="0" w:color="auto"/>
            </w:tcBorders>
          </w:tcPr>
          <w:p w14:paraId="7D862D7F" w14:textId="3EB16FD1" w:rsidR="002E006F" w:rsidRPr="000C5CE6" w:rsidRDefault="003A08FF" w:rsidP="000F61ED">
            <w:pPr>
              <w:jc w:val="center"/>
              <w:rPr>
                <w:rFonts w:ascii="Arial Narrow" w:hAnsi="Arial Narrow" w:cs="Arial"/>
                <w:b/>
                <w:bCs w:val="0"/>
                <w:sz w:val="18"/>
                <w:szCs w:val="18"/>
              </w:rPr>
            </w:pPr>
            <w:r>
              <w:rPr>
                <w:rFonts w:ascii="Arial Narrow" w:hAnsi="Arial Narrow" w:cs="Arial"/>
                <w:b/>
                <w:bCs w:val="0"/>
                <w:sz w:val="18"/>
                <w:szCs w:val="18"/>
              </w:rPr>
              <w:t>13/5/24</w:t>
            </w:r>
          </w:p>
        </w:tc>
      </w:tr>
      <w:tr w:rsidR="002E006F" w:rsidRPr="000C5CE6" w14:paraId="579EBE52" w14:textId="77777777" w:rsidTr="000F61E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694823DD" w14:textId="77777777" w:rsidR="002E006F" w:rsidRPr="000C5CE6" w:rsidRDefault="002E006F" w:rsidP="000F61ED">
            <w:pPr>
              <w:rPr>
                <w:rFonts w:ascii="Arial Narrow" w:hAnsi="Arial Narrow" w:cs="Arial"/>
                <w:bCs w:val="0"/>
                <w:sz w:val="18"/>
                <w:szCs w:val="18"/>
              </w:rPr>
            </w:pPr>
          </w:p>
        </w:tc>
        <w:tc>
          <w:tcPr>
            <w:tcW w:w="808" w:type="pct"/>
            <w:gridSpan w:val="2"/>
            <w:tcBorders>
              <w:left w:val="single" w:sz="4" w:space="0" w:color="auto"/>
            </w:tcBorders>
            <w:shd w:val="clear" w:color="auto" w:fill="D9D9D9"/>
          </w:tcPr>
          <w:p w14:paraId="0F94B98B" w14:textId="77777777" w:rsidR="002E006F" w:rsidRPr="000C5CE6" w:rsidRDefault="002E006F" w:rsidP="000F61ED">
            <w:pPr>
              <w:rPr>
                <w:rFonts w:ascii="Arial Narrow" w:hAnsi="Arial Narrow" w:cs="Arial"/>
                <w:bCs w:val="0"/>
                <w:sz w:val="18"/>
                <w:szCs w:val="18"/>
              </w:rPr>
            </w:pPr>
          </w:p>
        </w:tc>
      </w:tr>
      <w:tr w:rsidR="002E006F" w:rsidRPr="000C5CE6" w14:paraId="66430995" w14:textId="77777777" w:rsidTr="000F61ED">
        <w:tblPrEx>
          <w:tblLook w:val="04A0" w:firstRow="1" w:lastRow="0" w:firstColumn="1" w:lastColumn="0" w:noHBand="0" w:noVBand="1"/>
        </w:tblPrEx>
        <w:trPr>
          <w:cantSplit/>
          <w:trHeight w:val="423"/>
          <w:jc w:val="center"/>
        </w:trPr>
        <w:tc>
          <w:tcPr>
            <w:tcW w:w="1154" w:type="pct"/>
            <w:gridSpan w:val="2"/>
          </w:tcPr>
          <w:p w14:paraId="7FF82BCC"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Name of Lead Person:</w:t>
            </w:r>
          </w:p>
          <w:p w14:paraId="6EB53368"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Signature of Lead Person:</w:t>
            </w:r>
          </w:p>
        </w:tc>
        <w:tc>
          <w:tcPr>
            <w:tcW w:w="2164" w:type="pct"/>
            <w:gridSpan w:val="7"/>
          </w:tcPr>
          <w:p w14:paraId="38821830" w14:textId="77777777" w:rsidR="002E006F" w:rsidRPr="000C5CE6" w:rsidRDefault="002E006F" w:rsidP="000F61ED">
            <w:pPr>
              <w:rPr>
                <w:rFonts w:ascii="Arial Narrow" w:hAnsi="Arial Narrow" w:cs="Arial"/>
                <w:bCs w:val="0"/>
                <w:sz w:val="18"/>
                <w:szCs w:val="18"/>
              </w:rPr>
            </w:pPr>
            <w:r w:rsidRPr="000C5CE6">
              <w:rPr>
                <w:rFonts w:ascii="Arial Narrow" w:hAnsi="Arial Narrow" w:cs="Arial"/>
                <w:bCs w:val="0"/>
                <w:sz w:val="18"/>
                <w:szCs w:val="18"/>
              </w:rPr>
              <w:t>Mr Amit Shah</w:t>
            </w:r>
          </w:p>
        </w:tc>
        <w:tc>
          <w:tcPr>
            <w:tcW w:w="874" w:type="pct"/>
            <w:gridSpan w:val="4"/>
            <w:tcBorders>
              <w:right w:val="single" w:sz="4" w:space="0" w:color="auto"/>
            </w:tcBorders>
          </w:tcPr>
          <w:p w14:paraId="71E6C991"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
                <w:bCs w:val="0"/>
                <w:sz w:val="18"/>
                <w:szCs w:val="18"/>
              </w:rPr>
              <w:t>Date Signed:</w:t>
            </w:r>
          </w:p>
        </w:tc>
        <w:tc>
          <w:tcPr>
            <w:tcW w:w="808" w:type="pct"/>
            <w:gridSpan w:val="2"/>
            <w:tcBorders>
              <w:left w:val="single" w:sz="4" w:space="0" w:color="auto"/>
            </w:tcBorders>
          </w:tcPr>
          <w:p w14:paraId="3DCFC19A" w14:textId="06625F25" w:rsidR="002E006F" w:rsidRPr="000C5CE6" w:rsidRDefault="003A08FF" w:rsidP="000F61ED">
            <w:pPr>
              <w:jc w:val="center"/>
              <w:rPr>
                <w:rFonts w:ascii="Arial Narrow" w:hAnsi="Arial Narrow" w:cs="Arial"/>
                <w:bCs w:val="0"/>
                <w:sz w:val="18"/>
                <w:szCs w:val="18"/>
              </w:rPr>
            </w:pPr>
            <w:r>
              <w:rPr>
                <w:rFonts w:ascii="Arial Narrow" w:hAnsi="Arial Narrow" w:cs="Arial"/>
                <w:bCs w:val="0"/>
                <w:sz w:val="18"/>
                <w:szCs w:val="18"/>
              </w:rPr>
              <w:t>13/5/24</w:t>
            </w:r>
          </w:p>
        </w:tc>
      </w:tr>
      <w:tr w:rsidR="002E006F" w:rsidRPr="000C5CE6" w14:paraId="50CF7648" w14:textId="77777777" w:rsidTr="000F61ED">
        <w:tblPrEx>
          <w:tblLook w:val="04A0" w:firstRow="1" w:lastRow="0" w:firstColumn="1" w:lastColumn="0" w:noHBand="0" w:noVBand="1"/>
        </w:tblPrEx>
        <w:trPr>
          <w:cantSplit/>
          <w:jc w:val="center"/>
        </w:trPr>
        <w:tc>
          <w:tcPr>
            <w:tcW w:w="4192" w:type="pct"/>
            <w:gridSpan w:val="13"/>
            <w:tcBorders>
              <w:right w:val="single" w:sz="4" w:space="0" w:color="auto"/>
            </w:tcBorders>
            <w:shd w:val="clear" w:color="auto" w:fill="D9D9D9"/>
          </w:tcPr>
          <w:p w14:paraId="34D394C3" w14:textId="77777777" w:rsidR="002E006F" w:rsidRPr="000C5CE6" w:rsidRDefault="002E006F" w:rsidP="000F61ED">
            <w:pPr>
              <w:rPr>
                <w:rFonts w:ascii="Arial Narrow" w:hAnsi="Arial Narrow" w:cs="Arial"/>
                <w:bCs w:val="0"/>
                <w:sz w:val="18"/>
                <w:szCs w:val="18"/>
              </w:rPr>
            </w:pPr>
          </w:p>
        </w:tc>
        <w:tc>
          <w:tcPr>
            <w:tcW w:w="808" w:type="pct"/>
            <w:gridSpan w:val="2"/>
            <w:tcBorders>
              <w:left w:val="single" w:sz="4" w:space="0" w:color="auto"/>
            </w:tcBorders>
            <w:shd w:val="clear" w:color="auto" w:fill="D9D9D9"/>
          </w:tcPr>
          <w:p w14:paraId="33FECB71" w14:textId="77777777" w:rsidR="002E006F" w:rsidRPr="000C5CE6" w:rsidRDefault="002E006F" w:rsidP="000F61ED">
            <w:pPr>
              <w:rPr>
                <w:rFonts w:ascii="Arial Narrow" w:hAnsi="Arial Narrow" w:cs="Arial"/>
                <w:bCs w:val="0"/>
                <w:sz w:val="18"/>
                <w:szCs w:val="18"/>
              </w:rPr>
            </w:pPr>
          </w:p>
        </w:tc>
      </w:tr>
      <w:tr w:rsidR="002E006F" w:rsidRPr="000C5CE6" w14:paraId="7BE82936" w14:textId="77777777" w:rsidTr="000F61ED">
        <w:tblPrEx>
          <w:tblLook w:val="04A0" w:firstRow="1" w:lastRow="0" w:firstColumn="1" w:lastColumn="0" w:noHBand="0" w:noVBand="1"/>
        </w:tblPrEx>
        <w:trPr>
          <w:cantSplit/>
          <w:trHeight w:val="423"/>
          <w:jc w:val="center"/>
        </w:trPr>
        <w:tc>
          <w:tcPr>
            <w:tcW w:w="1154" w:type="pct"/>
            <w:gridSpan w:val="2"/>
          </w:tcPr>
          <w:p w14:paraId="41F985E4"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Name of Manager:</w:t>
            </w:r>
          </w:p>
          <w:p w14:paraId="1C925E96" w14:textId="77777777" w:rsidR="002E006F" w:rsidRPr="000C5CE6" w:rsidRDefault="002E006F" w:rsidP="000F61ED">
            <w:pPr>
              <w:rPr>
                <w:rFonts w:ascii="Arial Narrow" w:hAnsi="Arial Narrow" w:cs="Arial"/>
                <w:b/>
                <w:bCs w:val="0"/>
                <w:sz w:val="18"/>
                <w:szCs w:val="18"/>
              </w:rPr>
            </w:pPr>
            <w:r w:rsidRPr="000C5CE6">
              <w:rPr>
                <w:rFonts w:ascii="Arial Narrow" w:hAnsi="Arial Narrow" w:cs="Arial"/>
                <w:b/>
                <w:bCs w:val="0"/>
                <w:sz w:val="18"/>
                <w:szCs w:val="18"/>
              </w:rPr>
              <w:t>Signature of Manager</w:t>
            </w:r>
          </w:p>
        </w:tc>
        <w:tc>
          <w:tcPr>
            <w:tcW w:w="2164" w:type="pct"/>
            <w:gridSpan w:val="7"/>
          </w:tcPr>
          <w:p w14:paraId="36436367" w14:textId="6467E3BE" w:rsidR="002E006F" w:rsidRPr="000C5CE6" w:rsidRDefault="002E006F" w:rsidP="000F61ED">
            <w:pPr>
              <w:rPr>
                <w:rFonts w:ascii="Arial Narrow" w:hAnsi="Arial Narrow" w:cs="Arial"/>
                <w:bCs w:val="0"/>
                <w:sz w:val="18"/>
                <w:szCs w:val="18"/>
              </w:rPr>
            </w:pPr>
          </w:p>
        </w:tc>
        <w:tc>
          <w:tcPr>
            <w:tcW w:w="874" w:type="pct"/>
            <w:gridSpan w:val="4"/>
            <w:tcBorders>
              <w:right w:val="single" w:sz="4" w:space="0" w:color="auto"/>
            </w:tcBorders>
          </w:tcPr>
          <w:p w14:paraId="52494820" w14:textId="77777777" w:rsidR="002E006F" w:rsidRPr="000C5CE6" w:rsidRDefault="002E006F" w:rsidP="000F61ED">
            <w:pPr>
              <w:jc w:val="center"/>
              <w:rPr>
                <w:rFonts w:ascii="Arial Narrow" w:hAnsi="Arial Narrow" w:cs="Arial"/>
                <w:bCs w:val="0"/>
                <w:sz w:val="18"/>
                <w:szCs w:val="18"/>
              </w:rPr>
            </w:pPr>
            <w:r w:rsidRPr="000C5CE6">
              <w:rPr>
                <w:rFonts w:ascii="Arial Narrow" w:hAnsi="Arial Narrow" w:cs="Arial"/>
                <w:b/>
                <w:bCs w:val="0"/>
                <w:sz w:val="18"/>
                <w:szCs w:val="18"/>
              </w:rPr>
              <w:t>Date Signed:</w:t>
            </w:r>
          </w:p>
        </w:tc>
        <w:tc>
          <w:tcPr>
            <w:tcW w:w="808" w:type="pct"/>
            <w:gridSpan w:val="2"/>
            <w:tcBorders>
              <w:left w:val="single" w:sz="4" w:space="0" w:color="auto"/>
            </w:tcBorders>
          </w:tcPr>
          <w:p w14:paraId="6060C811" w14:textId="77777777" w:rsidR="002E006F" w:rsidRPr="000C5CE6" w:rsidRDefault="002E006F" w:rsidP="000F61ED">
            <w:pPr>
              <w:jc w:val="center"/>
              <w:rPr>
                <w:rFonts w:ascii="Arial Narrow" w:hAnsi="Arial Narrow" w:cs="Arial"/>
                <w:bCs w:val="0"/>
                <w:sz w:val="18"/>
                <w:szCs w:val="18"/>
              </w:rPr>
            </w:pPr>
          </w:p>
        </w:tc>
      </w:tr>
      <w:tr w:rsidR="002E006F" w:rsidRPr="000C5CE6" w14:paraId="5834A866" w14:textId="77777777" w:rsidTr="000F61ED">
        <w:tblPrEx>
          <w:tblLook w:val="04A0" w:firstRow="1" w:lastRow="0" w:firstColumn="1" w:lastColumn="0" w:noHBand="0" w:noVBand="1"/>
        </w:tblPrEx>
        <w:trPr>
          <w:cantSplit/>
          <w:jc w:val="center"/>
        </w:trPr>
        <w:tc>
          <w:tcPr>
            <w:tcW w:w="5000" w:type="pct"/>
            <w:gridSpan w:val="15"/>
            <w:shd w:val="clear" w:color="auto" w:fill="D9D9D9"/>
          </w:tcPr>
          <w:p w14:paraId="1481F22F" w14:textId="77777777" w:rsidR="002E006F" w:rsidRPr="000C5CE6" w:rsidRDefault="002E006F" w:rsidP="000F61ED">
            <w:pPr>
              <w:rPr>
                <w:rFonts w:ascii="Arial Narrow" w:hAnsi="Arial Narrow" w:cs="Arial"/>
                <w:bCs w:val="0"/>
                <w:sz w:val="18"/>
                <w:szCs w:val="18"/>
              </w:rPr>
            </w:pPr>
          </w:p>
        </w:tc>
      </w:tr>
    </w:tbl>
    <w:p w14:paraId="772D3B26" w14:textId="77777777" w:rsidR="002E006F" w:rsidRPr="00D666A6" w:rsidRDefault="002E006F" w:rsidP="002E006F"/>
    <w:sectPr w:rsidR="002E006F" w:rsidRPr="00D666A6" w:rsidSect="003F3A87">
      <w:footerReference w:type="default" r:id="rId20"/>
      <w:headerReference w:type="first" r:id="rId21"/>
      <w:pgSz w:w="11906" w:h="16838" w:code="9"/>
      <w:pgMar w:top="1134" w:right="1134"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B4B5" w14:textId="77777777" w:rsidR="009D72C6" w:rsidRDefault="009D72C6">
      <w:r>
        <w:separator/>
      </w:r>
    </w:p>
  </w:endnote>
  <w:endnote w:type="continuationSeparator" w:id="0">
    <w:p w14:paraId="3B87CCE3" w14:textId="77777777" w:rsidR="009D72C6" w:rsidRDefault="009D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70" w:type="pct"/>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1766"/>
      <w:gridCol w:w="2767"/>
      <w:gridCol w:w="3877"/>
    </w:tblGrid>
    <w:tr w:rsidR="000F61ED" w:rsidRPr="005C7FDB" w14:paraId="4B33D879" w14:textId="77777777" w:rsidTr="000F61ED">
      <w:trPr>
        <w:cantSplit/>
        <w:trHeight w:val="350"/>
        <w:jc w:val="center"/>
      </w:trPr>
      <w:tc>
        <w:tcPr>
          <w:tcW w:w="2695" w:type="pct"/>
          <w:gridSpan w:val="2"/>
        </w:tcPr>
        <w:p w14:paraId="4B33D876" w14:textId="77777777" w:rsidR="000F61ED" w:rsidRPr="005C7FDB" w:rsidRDefault="000F61ED" w:rsidP="000F61ED">
          <w:pPr>
            <w:pStyle w:val="Header"/>
            <w:spacing w:before="120"/>
            <w:rPr>
              <w:rFonts w:cs="Arial"/>
              <w:sz w:val="16"/>
              <w:szCs w:val="16"/>
            </w:rPr>
          </w:pPr>
          <w:r w:rsidRPr="005C7FDB">
            <w:rPr>
              <w:rFonts w:cs="Arial"/>
              <w:sz w:val="16"/>
              <w:szCs w:val="16"/>
            </w:rPr>
            <w:t>Blackpool Teaching Hospitals NHS Foundation Trust</w:t>
          </w:r>
        </w:p>
      </w:tc>
      <w:tc>
        <w:tcPr>
          <w:tcW w:w="2305" w:type="pct"/>
          <w:vMerge w:val="restart"/>
        </w:tcPr>
        <w:p w14:paraId="4B33D877" w14:textId="491D85E1" w:rsidR="000F61ED" w:rsidRPr="005C7FDB" w:rsidRDefault="000F61ED" w:rsidP="000F61ED">
          <w:pPr>
            <w:pStyle w:val="Header"/>
            <w:spacing w:before="120"/>
            <w:rPr>
              <w:rFonts w:cs="Arial"/>
              <w:sz w:val="16"/>
              <w:szCs w:val="16"/>
            </w:rPr>
          </w:pPr>
          <w:r w:rsidRPr="005C7FDB">
            <w:rPr>
              <w:rFonts w:cs="Arial"/>
              <w:sz w:val="16"/>
              <w:szCs w:val="16"/>
            </w:rPr>
            <w:t xml:space="preserve">ID No. </w:t>
          </w:r>
          <w:r w:rsidR="00FA7DB2">
            <w:rPr>
              <w:rFonts w:cs="Arial"/>
              <w:sz w:val="16"/>
              <w:szCs w:val="16"/>
            </w:rPr>
            <w:t>CORP/GUID/076</w:t>
          </w:r>
        </w:p>
        <w:p w14:paraId="4B33D878" w14:textId="1E4652D8" w:rsidR="000F61ED" w:rsidRPr="005C7FDB" w:rsidRDefault="000F61ED" w:rsidP="00393A1D">
          <w:pPr>
            <w:rPr>
              <w:sz w:val="16"/>
              <w:szCs w:val="16"/>
            </w:rPr>
          </w:pPr>
          <w:r w:rsidRPr="005C7FDB">
            <w:rPr>
              <w:rFonts w:cs="Arial"/>
              <w:sz w:val="16"/>
              <w:szCs w:val="16"/>
            </w:rPr>
            <w:t xml:space="preserve">Title: </w:t>
          </w:r>
          <w:r w:rsidRPr="002E006F">
            <w:rPr>
              <w:rStyle w:val="Style2"/>
            </w:rPr>
            <w:t>Prevention of Venous Thromboembolism (VTE) in Medical Surgical Patients</w:t>
          </w:r>
          <w:r>
            <w:rPr>
              <w:rStyle w:val="Style2"/>
            </w:rPr>
            <w:t xml:space="preserve"> </w:t>
          </w:r>
          <w:r w:rsidRPr="002E006F">
            <w:rPr>
              <w:rStyle w:val="Style2"/>
            </w:rPr>
            <w:t>(16 years +) and those requiring lower limb plaster casts / immobilisations</w:t>
          </w:r>
        </w:p>
      </w:tc>
    </w:tr>
    <w:tr w:rsidR="000F61ED" w:rsidRPr="005C7FDB" w14:paraId="4B33D87D" w14:textId="77777777" w:rsidTr="000F61ED">
      <w:trPr>
        <w:cantSplit/>
        <w:trHeight w:val="160"/>
        <w:jc w:val="center"/>
      </w:trPr>
      <w:tc>
        <w:tcPr>
          <w:tcW w:w="1050" w:type="pct"/>
        </w:tcPr>
        <w:p w14:paraId="4B33D87A" w14:textId="316D0834" w:rsidR="000F61ED" w:rsidRPr="005C7FDB" w:rsidRDefault="000F61ED" w:rsidP="00393A1D">
          <w:pPr>
            <w:pStyle w:val="Header"/>
            <w:spacing w:before="120"/>
            <w:rPr>
              <w:rFonts w:cs="Arial"/>
              <w:sz w:val="16"/>
              <w:szCs w:val="16"/>
            </w:rPr>
          </w:pPr>
          <w:r w:rsidRPr="005C7FDB">
            <w:rPr>
              <w:rFonts w:cs="Arial"/>
              <w:sz w:val="16"/>
              <w:szCs w:val="16"/>
            </w:rPr>
            <w:t xml:space="preserve">Revision No: </w:t>
          </w:r>
          <w:r w:rsidR="008D6D6D">
            <w:rPr>
              <w:rFonts w:cs="Arial"/>
              <w:sz w:val="16"/>
              <w:szCs w:val="16"/>
            </w:rPr>
            <w:t>9</w:t>
          </w:r>
        </w:p>
      </w:tc>
      <w:tc>
        <w:tcPr>
          <w:tcW w:w="1645" w:type="pct"/>
        </w:tcPr>
        <w:p w14:paraId="4B33D87B" w14:textId="20D43E9C" w:rsidR="000F61ED" w:rsidRPr="005C7FDB" w:rsidRDefault="000F61ED" w:rsidP="00393A1D">
          <w:pPr>
            <w:pStyle w:val="Header"/>
            <w:spacing w:before="120"/>
            <w:rPr>
              <w:rFonts w:cs="Arial"/>
              <w:sz w:val="16"/>
              <w:szCs w:val="16"/>
            </w:rPr>
          </w:pPr>
          <w:r w:rsidRPr="005C7FDB">
            <w:rPr>
              <w:rFonts w:cs="Arial"/>
              <w:sz w:val="16"/>
              <w:szCs w:val="16"/>
            </w:rPr>
            <w:t xml:space="preserve">Next Review Date: </w:t>
          </w:r>
          <w:r w:rsidR="008525A9">
            <w:rPr>
              <w:rFonts w:cs="Arial"/>
              <w:sz w:val="16"/>
              <w:szCs w:val="16"/>
            </w:rPr>
            <w:t>23/08/2027</w:t>
          </w:r>
        </w:p>
      </w:tc>
      <w:tc>
        <w:tcPr>
          <w:tcW w:w="2305" w:type="pct"/>
          <w:vMerge/>
        </w:tcPr>
        <w:p w14:paraId="4B33D87C" w14:textId="77777777" w:rsidR="000F61ED" w:rsidRPr="005C7FDB" w:rsidRDefault="000F61ED" w:rsidP="000F61ED">
          <w:pPr>
            <w:pStyle w:val="Header"/>
            <w:spacing w:before="120"/>
            <w:rPr>
              <w:rFonts w:cs="Arial"/>
              <w:sz w:val="16"/>
              <w:szCs w:val="16"/>
            </w:rPr>
          </w:pPr>
        </w:p>
      </w:tc>
    </w:tr>
    <w:tr w:rsidR="000F61ED" w:rsidRPr="005C7FDB" w14:paraId="4B33D87F" w14:textId="77777777" w:rsidTr="000F61ED">
      <w:trPr>
        <w:trHeight w:val="248"/>
        <w:jc w:val="center"/>
      </w:trPr>
      <w:tc>
        <w:tcPr>
          <w:tcW w:w="5000" w:type="pct"/>
          <w:gridSpan w:val="3"/>
        </w:tcPr>
        <w:p w14:paraId="1D8F90F7" w14:textId="27B9240E" w:rsidR="000F61ED" w:rsidRDefault="000F61ED" w:rsidP="000F61ED">
          <w:pPr>
            <w:pStyle w:val="Footer"/>
            <w:jc w:val="center"/>
            <w:rPr>
              <w:rFonts w:cs="Arial"/>
              <w:b/>
              <w:i/>
              <w:sz w:val="16"/>
              <w:szCs w:val="16"/>
            </w:rPr>
          </w:pPr>
          <w:r>
            <w:rPr>
              <w:rFonts w:cs="Arial"/>
              <w:b/>
              <w:i/>
              <w:sz w:val="16"/>
              <w:szCs w:val="16"/>
            </w:rPr>
            <w:t>UNCONTROLLED COPY WHEN PRINTED</w:t>
          </w:r>
        </w:p>
        <w:p w14:paraId="4B33D87E" w14:textId="590CDC2A" w:rsidR="000F61ED" w:rsidRPr="005C7FDB" w:rsidRDefault="000F61ED" w:rsidP="00370D74">
          <w:pPr>
            <w:pStyle w:val="Footer"/>
            <w:jc w:val="center"/>
            <w:rPr>
              <w:rFonts w:cs="Arial"/>
              <w:b/>
              <w:i/>
              <w:sz w:val="16"/>
              <w:szCs w:val="16"/>
              <w:lang w:val="en-US"/>
            </w:rPr>
          </w:pPr>
          <w:r>
            <w:rPr>
              <w:rFonts w:cs="Arial"/>
              <w:b/>
              <w:i/>
              <w:sz w:val="16"/>
              <w:szCs w:val="16"/>
            </w:rPr>
            <w:t>Current Version held on the Intranet</w:t>
          </w:r>
        </w:p>
      </w:tc>
    </w:tr>
  </w:tbl>
  <w:p w14:paraId="4B33D880" w14:textId="77777777" w:rsidR="000F61ED" w:rsidRDefault="000F61ED" w:rsidP="00616375">
    <w:pPr>
      <w:pStyle w:val="Footer"/>
      <w:jc w:val="center"/>
    </w:pPr>
    <w:r w:rsidRPr="006D567E">
      <w:rPr>
        <w:rFonts w:cs="Arial"/>
        <w:sz w:val="16"/>
        <w:lang w:val="en-US"/>
      </w:rPr>
      <w:t xml:space="preserve">Page </w:t>
    </w:r>
    <w:r w:rsidRPr="006D567E">
      <w:rPr>
        <w:rFonts w:cs="Arial"/>
        <w:sz w:val="16"/>
        <w:lang w:val="en-US"/>
      </w:rPr>
      <w:fldChar w:fldCharType="begin"/>
    </w:r>
    <w:r w:rsidRPr="006D567E">
      <w:rPr>
        <w:rFonts w:cs="Arial"/>
        <w:sz w:val="16"/>
        <w:lang w:val="en-US"/>
      </w:rPr>
      <w:instrText xml:space="preserve"> PAGE </w:instrText>
    </w:r>
    <w:r w:rsidRPr="006D567E">
      <w:rPr>
        <w:rFonts w:cs="Arial"/>
        <w:sz w:val="16"/>
        <w:lang w:val="en-US"/>
      </w:rPr>
      <w:fldChar w:fldCharType="separate"/>
    </w:r>
    <w:r>
      <w:rPr>
        <w:rFonts w:cs="Arial"/>
        <w:noProof/>
        <w:sz w:val="16"/>
        <w:lang w:val="en-US"/>
      </w:rPr>
      <w:t>2</w:t>
    </w:r>
    <w:r w:rsidRPr="006D567E">
      <w:rPr>
        <w:rFonts w:cs="Arial"/>
        <w:sz w:val="16"/>
        <w:lang w:val="en-US"/>
      </w:rPr>
      <w:fldChar w:fldCharType="end"/>
    </w:r>
    <w:r w:rsidRPr="006D567E">
      <w:rPr>
        <w:rFonts w:cs="Arial"/>
        <w:sz w:val="16"/>
        <w:lang w:val="en-US"/>
      </w:rPr>
      <w:t xml:space="preserve"> of </w:t>
    </w:r>
    <w:r w:rsidRPr="006D567E">
      <w:rPr>
        <w:rFonts w:cs="Arial"/>
        <w:sz w:val="16"/>
        <w:lang w:val="en-US"/>
      </w:rPr>
      <w:fldChar w:fldCharType="begin"/>
    </w:r>
    <w:r w:rsidRPr="006D567E">
      <w:rPr>
        <w:rFonts w:cs="Arial"/>
        <w:sz w:val="16"/>
        <w:lang w:val="en-US"/>
      </w:rPr>
      <w:instrText xml:space="preserve"> NUMPAGES </w:instrText>
    </w:r>
    <w:r w:rsidRPr="006D567E">
      <w:rPr>
        <w:rFonts w:cs="Arial"/>
        <w:sz w:val="16"/>
        <w:lang w:val="en-US"/>
      </w:rPr>
      <w:fldChar w:fldCharType="separate"/>
    </w:r>
    <w:r>
      <w:rPr>
        <w:rFonts w:cs="Arial"/>
        <w:noProof/>
        <w:sz w:val="16"/>
        <w:lang w:val="en-US"/>
      </w:rPr>
      <w:t>7</w:t>
    </w:r>
    <w:r w:rsidRPr="006D567E">
      <w:rPr>
        <w:rFonts w:cs="Arial"/>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D230" w14:textId="77777777" w:rsidR="009D72C6" w:rsidRDefault="009D72C6">
      <w:r>
        <w:separator/>
      </w:r>
    </w:p>
  </w:footnote>
  <w:footnote w:type="continuationSeparator" w:id="0">
    <w:p w14:paraId="78BA1138" w14:textId="77777777" w:rsidR="009D72C6" w:rsidRDefault="009D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D881" w14:textId="77777777" w:rsidR="000F61ED" w:rsidRDefault="000F61ED" w:rsidP="007B73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13817080"/>
    <w:multiLevelType w:val="hybridMultilevel"/>
    <w:tmpl w:val="381CEE26"/>
    <w:lvl w:ilvl="0" w:tplc="B8F8A4AA">
      <w:start w:val="1"/>
      <w:numFmt w:val="lowerRoman"/>
      <w:lvlText w:val="%1."/>
      <w:lvlJc w:val="left"/>
      <w:pPr>
        <w:tabs>
          <w:tab w:val="num" w:pos="1440"/>
        </w:tabs>
        <w:ind w:left="1440" w:hanging="360"/>
      </w:pPr>
      <w:rPr>
        <w:rFonts w:hint="default"/>
      </w:rPr>
    </w:lvl>
    <w:lvl w:ilvl="1" w:tplc="7960E942" w:tentative="1">
      <w:start w:val="1"/>
      <w:numFmt w:val="lowerLetter"/>
      <w:lvlText w:val="%2."/>
      <w:lvlJc w:val="left"/>
      <w:pPr>
        <w:tabs>
          <w:tab w:val="num" w:pos="1440"/>
        </w:tabs>
        <w:ind w:left="1440" w:hanging="360"/>
      </w:pPr>
    </w:lvl>
    <w:lvl w:ilvl="2" w:tplc="3B161AD2" w:tentative="1">
      <w:start w:val="1"/>
      <w:numFmt w:val="lowerRoman"/>
      <w:lvlText w:val="%3."/>
      <w:lvlJc w:val="right"/>
      <w:pPr>
        <w:tabs>
          <w:tab w:val="num" w:pos="2160"/>
        </w:tabs>
        <w:ind w:left="2160" w:hanging="180"/>
      </w:pPr>
    </w:lvl>
    <w:lvl w:ilvl="3" w:tplc="5FB87D98" w:tentative="1">
      <w:start w:val="1"/>
      <w:numFmt w:val="decimal"/>
      <w:lvlText w:val="%4."/>
      <w:lvlJc w:val="left"/>
      <w:pPr>
        <w:tabs>
          <w:tab w:val="num" w:pos="2880"/>
        </w:tabs>
        <w:ind w:left="2880" w:hanging="360"/>
      </w:pPr>
    </w:lvl>
    <w:lvl w:ilvl="4" w:tplc="C298F10C" w:tentative="1">
      <w:start w:val="1"/>
      <w:numFmt w:val="lowerLetter"/>
      <w:lvlText w:val="%5."/>
      <w:lvlJc w:val="left"/>
      <w:pPr>
        <w:tabs>
          <w:tab w:val="num" w:pos="3600"/>
        </w:tabs>
        <w:ind w:left="3600" w:hanging="360"/>
      </w:pPr>
    </w:lvl>
    <w:lvl w:ilvl="5" w:tplc="03FAFE1E" w:tentative="1">
      <w:start w:val="1"/>
      <w:numFmt w:val="lowerRoman"/>
      <w:lvlText w:val="%6."/>
      <w:lvlJc w:val="right"/>
      <w:pPr>
        <w:tabs>
          <w:tab w:val="num" w:pos="4320"/>
        </w:tabs>
        <w:ind w:left="4320" w:hanging="180"/>
      </w:pPr>
    </w:lvl>
    <w:lvl w:ilvl="6" w:tplc="8F72A4E0" w:tentative="1">
      <w:start w:val="1"/>
      <w:numFmt w:val="decimal"/>
      <w:lvlText w:val="%7."/>
      <w:lvlJc w:val="left"/>
      <w:pPr>
        <w:tabs>
          <w:tab w:val="num" w:pos="5040"/>
        </w:tabs>
        <w:ind w:left="5040" w:hanging="360"/>
      </w:pPr>
    </w:lvl>
    <w:lvl w:ilvl="7" w:tplc="C5FAAF2E" w:tentative="1">
      <w:start w:val="1"/>
      <w:numFmt w:val="lowerLetter"/>
      <w:lvlText w:val="%8."/>
      <w:lvlJc w:val="left"/>
      <w:pPr>
        <w:tabs>
          <w:tab w:val="num" w:pos="5760"/>
        </w:tabs>
        <w:ind w:left="5760" w:hanging="360"/>
      </w:pPr>
    </w:lvl>
    <w:lvl w:ilvl="8" w:tplc="07B64762" w:tentative="1">
      <w:start w:val="1"/>
      <w:numFmt w:val="lowerRoman"/>
      <w:lvlText w:val="%9."/>
      <w:lvlJc w:val="right"/>
      <w:pPr>
        <w:tabs>
          <w:tab w:val="num" w:pos="6480"/>
        </w:tabs>
        <w:ind w:left="6480" w:hanging="180"/>
      </w:pPr>
    </w:lvl>
  </w:abstractNum>
  <w:abstractNum w:abstractNumId="2" w15:restartNumberingAfterBreak="0">
    <w:nsid w:val="18BA46CB"/>
    <w:multiLevelType w:val="hybridMultilevel"/>
    <w:tmpl w:val="253E1D44"/>
    <w:lvl w:ilvl="0" w:tplc="FDA69082">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 w15:restartNumberingAfterBreak="0">
    <w:nsid w:val="20D12A7B"/>
    <w:multiLevelType w:val="hybridMultilevel"/>
    <w:tmpl w:val="5C62877A"/>
    <w:lvl w:ilvl="0" w:tplc="A8E840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518"/>
    <w:multiLevelType w:val="hybridMultilevel"/>
    <w:tmpl w:val="8DF2261A"/>
    <w:lvl w:ilvl="0" w:tplc="9FD88A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74BA3"/>
    <w:multiLevelType w:val="multilevel"/>
    <w:tmpl w:val="82DA7E40"/>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BF87BFE"/>
    <w:multiLevelType w:val="multilevel"/>
    <w:tmpl w:val="37C8605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2C242459"/>
    <w:multiLevelType w:val="hybridMultilevel"/>
    <w:tmpl w:val="5DF642DA"/>
    <w:lvl w:ilvl="0" w:tplc="131EED5E">
      <w:start w:val="1"/>
      <w:numFmt w:val="decimal"/>
      <w:lvlText w:val="%1."/>
      <w:lvlJc w:val="left"/>
      <w:pPr>
        <w:ind w:left="720" w:hanging="360"/>
      </w:pPr>
      <w:rPr>
        <w:rFonts w:hint="default"/>
      </w:rPr>
    </w:lvl>
    <w:lvl w:ilvl="1" w:tplc="E5DA7A24" w:tentative="1">
      <w:start w:val="1"/>
      <w:numFmt w:val="lowerLetter"/>
      <w:lvlText w:val="%2."/>
      <w:lvlJc w:val="left"/>
      <w:pPr>
        <w:ind w:left="1440" w:hanging="360"/>
      </w:pPr>
    </w:lvl>
    <w:lvl w:ilvl="2" w:tplc="2070EDD2" w:tentative="1">
      <w:start w:val="1"/>
      <w:numFmt w:val="lowerRoman"/>
      <w:lvlText w:val="%3."/>
      <w:lvlJc w:val="right"/>
      <w:pPr>
        <w:ind w:left="2160" w:hanging="180"/>
      </w:pPr>
    </w:lvl>
    <w:lvl w:ilvl="3" w:tplc="4094BE2E" w:tentative="1">
      <w:start w:val="1"/>
      <w:numFmt w:val="decimal"/>
      <w:lvlText w:val="%4."/>
      <w:lvlJc w:val="left"/>
      <w:pPr>
        <w:ind w:left="2880" w:hanging="360"/>
      </w:pPr>
    </w:lvl>
    <w:lvl w:ilvl="4" w:tplc="77A43EC8" w:tentative="1">
      <w:start w:val="1"/>
      <w:numFmt w:val="lowerLetter"/>
      <w:lvlText w:val="%5."/>
      <w:lvlJc w:val="left"/>
      <w:pPr>
        <w:ind w:left="3600" w:hanging="360"/>
      </w:pPr>
    </w:lvl>
    <w:lvl w:ilvl="5" w:tplc="D8B8B9E6" w:tentative="1">
      <w:start w:val="1"/>
      <w:numFmt w:val="lowerRoman"/>
      <w:lvlText w:val="%6."/>
      <w:lvlJc w:val="right"/>
      <w:pPr>
        <w:ind w:left="4320" w:hanging="180"/>
      </w:pPr>
    </w:lvl>
    <w:lvl w:ilvl="6" w:tplc="1D00CDC2" w:tentative="1">
      <w:start w:val="1"/>
      <w:numFmt w:val="decimal"/>
      <w:lvlText w:val="%7."/>
      <w:lvlJc w:val="left"/>
      <w:pPr>
        <w:ind w:left="5040" w:hanging="360"/>
      </w:pPr>
    </w:lvl>
    <w:lvl w:ilvl="7" w:tplc="4BAC5B5A" w:tentative="1">
      <w:start w:val="1"/>
      <w:numFmt w:val="lowerLetter"/>
      <w:lvlText w:val="%8."/>
      <w:lvlJc w:val="left"/>
      <w:pPr>
        <w:ind w:left="5760" w:hanging="360"/>
      </w:pPr>
    </w:lvl>
    <w:lvl w:ilvl="8" w:tplc="1E3E7AAA" w:tentative="1">
      <w:start w:val="1"/>
      <w:numFmt w:val="lowerRoman"/>
      <w:lvlText w:val="%9."/>
      <w:lvlJc w:val="right"/>
      <w:pPr>
        <w:ind w:left="6480" w:hanging="180"/>
      </w:pPr>
    </w:lvl>
  </w:abstractNum>
  <w:abstractNum w:abstractNumId="8" w15:restartNumberingAfterBreak="0">
    <w:nsid w:val="2C6674C3"/>
    <w:multiLevelType w:val="multilevel"/>
    <w:tmpl w:val="9F2AB0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79A5B48"/>
    <w:multiLevelType w:val="hybridMultilevel"/>
    <w:tmpl w:val="560681D6"/>
    <w:lvl w:ilvl="0" w:tplc="3A0A0AC8">
      <w:start w:val="1"/>
      <w:numFmt w:val="decimal"/>
      <w:lvlText w:val="%1."/>
      <w:lvlJc w:val="left"/>
      <w:pPr>
        <w:ind w:left="720" w:hanging="360"/>
      </w:pPr>
      <w:rPr>
        <w:rFonts w:hint="default"/>
      </w:rPr>
    </w:lvl>
    <w:lvl w:ilvl="1" w:tplc="1FF2FD6C" w:tentative="1">
      <w:start w:val="1"/>
      <w:numFmt w:val="lowerLetter"/>
      <w:lvlText w:val="%2."/>
      <w:lvlJc w:val="left"/>
      <w:pPr>
        <w:ind w:left="1440" w:hanging="360"/>
      </w:pPr>
    </w:lvl>
    <w:lvl w:ilvl="2" w:tplc="C91CB9A6" w:tentative="1">
      <w:start w:val="1"/>
      <w:numFmt w:val="lowerRoman"/>
      <w:lvlText w:val="%3."/>
      <w:lvlJc w:val="right"/>
      <w:pPr>
        <w:ind w:left="2160" w:hanging="180"/>
      </w:pPr>
    </w:lvl>
    <w:lvl w:ilvl="3" w:tplc="853250A6" w:tentative="1">
      <w:start w:val="1"/>
      <w:numFmt w:val="decimal"/>
      <w:lvlText w:val="%4."/>
      <w:lvlJc w:val="left"/>
      <w:pPr>
        <w:ind w:left="2880" w:hanging="360"/>
      </w:pPr>
    </w:lvl>
    <w:lvl w:ilvl="4" w:tplc="419EB034" w:tentative="1">
      <w:start w:val="1"/>
      <w:numFmt w:val="lowerLetter"/>
      <w:lvlText w:val="%5."/>
      <w:lvlJc w:val="left"/>
      <w:pPr>
        <w:ind w:left="3600" w:hanging="360"/>
      </w:pPr>
    </w:lvl>
    <w:lvl w:ilvl="5" w:tplc="52A62C3E" w:tentative="1">
      <w:start w:val="1"/>
      <w:numFmt w:val="lowerRoman"/>
      <w:lvlText w:val="%6."/>
      <w:lvlJc w:val="right"/>
      <w:pPr>
        <w:ind w:left="4320" w:hanging="180"/>
      </w:pPr>
    </w:lvl>
    <w:lvl w:ilvl="6" w:tplc="D0447CA6" w:tentative="1">
      <w:start w:val="1"/>
      <w:numFmt w:val="decimal"/>
      <w:lvlText w:val="%7."/>
      <w:lvlJc w:val="left"/>
      <w:pPr>
        <w:ind w:left="5040" w:hanging="360"/>
      </w:pPr>
    </w:lvl>
    <w:lvl w:ilvl="7" w:tplc="6CE64496" w:tentative="1">
      <w:start w:val="1"/>
      <w:numFmt w:val="lowerLetter"/>
      <w:lvlText w:val="%8."/>
      <w:lvlJc w:val="left"/>
      <w:pPr>
        <w:ind w:left="5760" w:hanging="360"/>
      </w:pPr>
    </w:lvl>
    <w:lvl w:ilvl="8" w:tplc="A4084F92" w:tentative="1">
      <w:start w:val="1"/>
      <w:numFmt w:val="lowerRoman"/>
      <w:lvlText w:val="%9."/>
      <w:lvlJc w:val="right"/>
      <w:pPr>
        <w:ind w:left="6480" w:hanging="180"/>
      </w:pPr>
    </w:lvl>
  </w:abstractNum>
  <w:abstractNum w:abstractNumId="10" w15:restartNumberingAfterBreak="0">
    <w:nsid w:val="39FC4805"/>
    <w:multiLevelType w:val="hybridMultilevel"/>
    <w:tmpl w:val="68981E1A"/>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53A87"/>
    <w:multiLevelType w:val="hybridMultilevel"/>
    <w:tmpl w:val="67AEEF62"/>
    <w:lvl w:ilvl="0" w:tplc="08090001">
      <w:start w:val="1"/>
      <w:numFmt w:val="bullet"/>
      <w:pStyle w:val="Bullet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55112717"/>
    <w:multiLevelType w:val="hybridMultilevel"/>
    <w:tmpl w:val="8BC22ABE"/>
    <w:lvl w:ilvl="0" w:tplc="0076F7FE">
      <w:start w:val="1"/>
      <w:numFmt w:val="decimal"/>
      <w:pStyle w:val="Number3"/>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15:restartNumberingAfterBreak="0">
    <w:nsid w:val="56716615"/>
    <w:multiLevelType w:val="hybridMultilevel"/>
    <w:tmpl w:val="75B058A0"/>
    <w:lvl w:ilvl="0" w:tplc="4E22C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9B57DC"/>
    <w:multiLevelType w:val="hybridMultilevel"/>
    <w:tmpl w:val="86E8E444"/>
    <w:lvl w:ilvl="0" w:tplc="BF965678">
      <w:start w:val="4"/>
      <w:numFmt w:val="decimal"/>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09415D"/>
    <w:multiLevelType w:val="hybridMultilevel"/>
    <w:tmpl w:val="6F3E2838"/>
    <w:lvl w:ilvl="0" w:tplc="0809000F">
      <w:start w:val="1"/>
      <w:numFmt w:val="bullet"/>
      <w:lvlText w:val=""/>
      <w:lvlJc w:val="left"/>
      <w:pPr>
        <w:ind w:left="1146" w:hanging="360"/>
      </w:pPr>
      <w:rPr>
        <w:rFonts w:ascii="Symbol" w:hAnsi="Symbol" w:hint="default"/>
      </w:rPr>
    </w:lvl>
    <w:lvl w:ilvl="1" w:tplc="08090019" w:tentative="1">
      <w:start w:val="1"/>
      <w:numFmt w:val="bullet"/>
      <w:lvlText w:val="o"/>
      <w:lvlJc w:val="left"/>
      <w:pPr>
        <w:ind w:left="1866" w:hanging="360"/>
      </w:pPr>
      <w:rPr>
        <w:rFonts w:ascii="Courier New" w:hAnsi="Courier New" w:cs="Courier New" w:hint="default"/>
      </w:rPr>
    </w:lvl>
    <w:lvl w:ilvl="2" w:tplc="0809001B" w:tentative="1">
      <w:start w:val="1"/>
      <w:numFmt w:val="bullet"/>
      <w:lvlText w:val=""/>
      <w:lvlJc w:val="left"/>
      <w:pPr>
        <w:ind w:left="2586" w:hanging="360"/>
      </w:pPr>
      <w:rPr>
        <w:rFonts w:ascii="Wingdings" w:hAnsi="Wingdings" w:hint="default"/>
      </w:rPr>
    </w:lvl>
    <w:lvl w:ilvl="3" w:tplc="0809000F" w:tentative="1">
      <w:start w:val="1"/>
      <w:numFmt w:val="bullet"/>
      <w:lvlText w:val=""/>
      <w:lvlJc w:val="left"/>
      <w:pPr>
        <w:ind w:left="3306" w:hanging="360"/>
      </w:pPr>
      <w:rPr>
        <w:rFonts w:ascii="Symbol" w:hAnsi="Symbol" w:hint="default"/>
      </w:rPr>
    </w:lvl>
    <w:lvl w:ilvl="4" w:tplc="08090019" w:tentative="1">
      <w:start w:val="1"/>
      <w:numFmt w:val="bullet"/>
      <w:lvlText w:val="o"/>
      <w:lvlJc w:val="left"/>
      <w:pPr>
        <w:ind w:left="4026" w:hanging="360"/>
      </w:pPr>
      <w:rPr>
        <w:rFonts w:ascii="Courier New" w:hAnsi="Courier New" w:cs="Courier New" w:hint="default"/>
      </w:rPr>
    </w:lvl>
    <w:lvl w:ilvl="5" w:tplc="0809001B" w:tentative="1">
      <w:start w:val="1"/>
      <w:numFmt w:val="bullet"/>
      <w:lvlText w:val=""/>
      <w:lvlJc w:val="left"/>
      <w:pPr>
        <w:ind w:left="4746" w:hanging="360"/>
      </w:pPr>
      <w:rPr>
        <w:rFonts w:ascii="Wingdings" w:hAnsi="Wingdings" w:hint="default"/>
      </w:rPr>
    </w:lvl>
    <w:lvl w:ilvl="6" w:tplc="0809000F" w:tentative="1">
      <w:start w:val="1"/>
      <w:numFmt w:val="bullet"/>
      <w:lvlText w:val=""/>
      <w:lvlJc w:val="left"/>
      <w:pPr>
        <w:ind w:left="5466" w:hanging="360"/>
      </w:pPr>
      <w:rPr>
        <w:rFonts w:ascii="Symbol" w:hAnsi="Symbol" w:hint="default"/>
      </w:rPr>
    </w:lvl>
    <w:lvl w:ilvl="7" w:tplc="08090019" w:tentative="1">
      <w:start w:val="1"/>
      <w:numFmt w:val="bullet"/>
      <w:lvlText w:val="o"/>
      <w:lvlJc w:val="left"/>
      <w:pPr>
        <w:ind w:left="6186" w:hanging="360"/>
      </w:pPr>
      <w:rPr>
        <w:rFonts w:ascii="Courier New" w:hAnsi="Courier New" w:cs="Courier New" w:hint="default"/>
      </w:rPr>
    </w:lvl>
    <w:lvl w:ilvl="8" w:tplc="0809001B" w:tentative="1">
      <w:start w:val="1"/>
      <w:numFmt w:val="bullet"/>
      <w:lvlText w:val=""/>
      <w:lvlJc w:val="left"/>
      <w:pPr>
        <w:ind w:left="6906" w:hanging="360"/>
      </w:pPr>
      <w:rPr>
        <w:rFonts w:ascii="Wingdings" w:hAnsi="Wingdings" w:hint="default"/>
      </w:rPr>
    </w:lvl>
  </w:abstractNum>
  <w:num w:numId="1" w16cid:durableId="870461398">
    <w:abstractNumId w:val="1"/>
  </w:num>
  <w:num w:numId="2" w16cid:durableId="1657345091">
    <w:abstractNumId w:val="16"/>
  </w:num>
  <w:num w:numId="3" w16cid:durableId="1055394010">
    <w:abstractNumId w:val="3"/>
  </w:num>
  <w:num w:numId="4" w16cid:durableId="1464884718">
    <w:abstractNumId w:val="4"/>
  </w:num>
  <w:num w:numId="5" w16cid:durableId="729883962">
    <w:abstractNumId w:val="11"/>
  </w:num>
  <w:num w:numId="6" w16cid:durableId="1012729297">
    <w:abstractNumId w:val="0"/>
  </w:num>
  <w:num w:numId="7" w16cid:durableId="229971009">
    <w:abstractNumId w:val="13"/>
  </w:num>
  <w:num w:numId="8" w16cid:durableId="1092161255">
    <w:abstractNumId w:val="5"/>
  </w:num>
  <w:num w:numId="9" w16cid:durableId="1011031565">
    <w:abstractNumId w:val="10"/>
  </w:num>
  <w:num w:numId="10" w16cid:durableId="1108696012">
    <w:abstractNumId w:val="7"/>
  </w:num>
  <w:num w:numId="11" w16cid:durableId="1203403659">
    <w:abstractNumId w:val="2"/>
  </w:num>
  <w:num w:numId="12" w16cid:durableId="479345756">
    <w:abstractNumId w:val="14"/>
  </w:num>
  <w:num w:numId="13" w16cid:durableId="445344224">
    <w:abstractNumId w:val="9"/>
  </w:num>
  <w:num w:numId="14" w16cid:durableId="624233954">
    <w:abstractNumId w:val="8"/>
  </w:num>
  <w:num w:numId="15" w16cid:durableId="896356254">
    <w:abstractNumId w:val="6"/>
  </w:num>
  <w:num w:numId="16" w16cid:durableId="184830714">
    <w:abstractNumId w:val="12"/>
  </w:num>
  <w:num w:numId="17" w16cid:durableId="2035449539">
    <w:abstractNumId w:val="15"/>
  </w:num>
  <w:num w:numId="18" w16cid:durableId="1328947788">
    <w:abstractNumId w:val="5"/>
  </w:num>
  <w:num w:numId="19" w16cid:durableId="16398009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B"/>
    <w:rsid w:val="00003E42"/>
    <w:rsid w:val="00010469"/>
    <w:rsid w:val="000112F6"/>
    <w:rsid w:val="000139A5"/>
    <w:rsid w:val="00013DA0"/>
    <w:rsid w:val="00014148"/>
    <w:rsid w:val="00017F0D"/>
    <w:rsid w:val="00017F3E"/>
    <w:rsid w:val="00021F53"/>
    <w:rsid w:val="0002541E"/>
    <w:rsid w:val="00037050"/>
    <w:rsid w:val="000402E1"/>
    <w:rsid w:val="00043394"/>
    <w:rsid w:val="00046773"/>
    <w:rsid w:val="0005045A"/>
    <w:rsid w:val="000508D9"/>
    <w:rsid w:val="00050C2D"/>
    <w:rsid w:val="0005396D"/>
    <w:rsid w:val="00061F02"/>
    <w:rsid w:val="00065FDE"/>
    <w:rsid w:val="00070443"/>
    <w:rsid w:val="00071631"/>
    <w:rsid w:val="000723D1"/>
    <w:rsid w:val="00073BE6"/>
    <w:rsid w:val="00080221"/>
    <w:rsid w:val="000820A8"/>
    <w:rsid w:val="000822A1"/>
    <w:rsid w:val="000824D5"/>
    <w:rsid w:val="000852B3"/>
    <w:rsid w:val="000861D5"/>
    <w:rsid w:val="00086305"/>
    <w:rsid w:val="00090C4E"/>
    <w:rsid w:val="00092E7E"/>
    <w:rsid w:val="00097250"/>
    <w:rsid w:val="000A05DB"/>
    <w:rsid w:val="000A373A"/>
    <w:rsid w:val="000A399C"/>
    <w:rsid w:val="000A51DC"/>
    <w:rsid w:val="000B288E"/>
    <w:rsid w:val="000B3B0D"/>
    <w:rsid w:val="000B63CB"/>
    <w:rsid w:val="000B7D17"/>
    <w:rsid w:val="000C2139"/>
    <w:rsid w:val="000C38F2"/>
    <w:rsid w:val="000C6F97"/>
    <w:rsid w:val="000C74BC"/>
    <w:rsid w:val="000D4580"/>
    <w:rsid w:val="000D69FD"/>
    <w:rsid w:val="000D70EE"/>
    <w:rsid w:val="000E00D4"/>
    <w:rsid w:val="000E18DC"/>
    <w:rsid w:val="000E4CB2"/>
    <w:rsid w:val="000F61ED"/>
    <w:rsid w:val="000F7751"/>
    <w:rsid w:val="001002BD"/>
    <w:rsid w:val="00100EE1"/>
    <w:rsid w:val="00105109"/>
    <w:rsid w:val="00107444"/>
    <w:rsid w:val="00112D5D"/>
    <w:rsid w:val="00115716"/>
    <w:rsid w:val="00115B85"/>
    <w:rsid w:val="00122D5E"/>
    <w:rsid w:val="001243EB"/>
    <w:rsid w:val="00125586"/>
    <w:rsid w:val="001257A4"/>
    <w:rsid w:val="001312FE"/>
    <w:rsid w:val="001315D1"/>
    <w:rsid w:val="00132851"/>
    <w:rsid w:val="00133BC5"/>
    <w:rsid w:val="00135A74"/>
    <w:rsid w:val="00135CFA"/>
    <w:rsid w:val="00141AAF"/>
    <w:rsid w:val="001442C6"/>
    <w:rsid w:val="00147DF0"/>
    <w:rsid w:val="0015094C"/>
    <w:rsid w:val="0015542D"/>
    <w:rsid w:val="0015652B"/>
    <w:rsid w:val="001574B1"/>
    <w:rsid w:val="0016201C"/>
    <w:rsid w:val="00166D44"/>
    <w:rsid w:val="001760B7"/>
    <w:rsid w:val="001774AD"/>
    <w:rsid w:val="00187852"/>
    <w:rsid w:val="00187F54"/>
    <w:rsid w:val="001900C4"/>
    <w:rsid w:val="0019030E"/>
    <w:rsid w:val="00195CDC"/>
    <w:rsid w:val="001B3059"/>
    <w:rsid w:val="001B5D77"/>
    <w:rsid w:val="001C3651"/>
    <w:rsid w:val="001C7795"/>
    <w:rsid w:val="001D4776"/>
    <w:rsid w:val="001D63EF"/>
    <w:rsid w:val="001E2C50"/>
    <w:rsid w:val="001E4000"/>
    <w:rsid w:val="001E67B9"/>
    <w:rsid w:val="001E7BFC"/>
    <w:rsid w:val="001F1632"/>
    <w:rsid w:val="001F3571"/>
    <w:rsid w:val="001F3DCB"/>
    <w:rsid w:val="001F677D"/>
    <w:rsid w:val="001F7688"/>
    <w:rsid w:val="00204EDE"/>
    <w:rsid w:val="00205286"/>
    <w:rsid w:val="002158B9"/>
    <w:rsid w:val="00216319"/>
    <w:rsid w:val="002222AA"/>
    <w:rsid w:val="00222B99"/>
    <w:rsid w:val="00225B7A"/>
    <w:rsid w:val="00225E4F"/>
    <w:rsid w:val="00230C60"/>
    <w:rsid w:val="00236154"/>
    <w:rsid w:val="002362E5"/>
    <w:rsid w:val="00237B7A"/>
    <w:rsid w:val="00237CF9"/>
    <w:rsid w:val="00245668"/>
    <w:rsid w:val="00250BAE"/>
    <w:rsid w:val="0025734D"/>
    <w:rsid w:val="0026437F"/>
    <w:rsid w:val="00264E04"/>
    <w:rsid w:val="00270F76"/>
    <w:rsid w:val="002713F7"/>
    <w:rsid w:val="00272D9C"/>
    <w:rsid w:val="00275C19"/>
    <w:rsid w:val="00287D30"/>
    <w:rsid w:val="002908A7"/>
    <w:rsid w:val="00297E78"/>
    <w:rsid w:val="002A11E8"/>
    <w:rsid w:val="002A4458"/>
    <w:rsid w:val="002B4EED"/>
    <w:rsid w:val="002B5130"/>
    <w:rsid w:val="002B6548"/>
    <w:rsid w:val="002C1C82"/>
    <w:rsid w:val="002C3E9D"/>
    <w:rsid w:val="002C7696"/>
    <w:rsid w:val="002D33AF"/>
    <w:rsid w:val="002D3AE8"/>
    <w:rsid w:val="002D4BE5"/>
    <w:rsid w:val="002D6A2C"/>
    <w:rsid w:val="002E006F"/>
    <w:rsid w:val="002E298F"/>
    <w:rsid w:val="002E6094"/>
    <w:rsid w:val="002E79B6"/>
    <w:rsid w:val="002F1BF2"/>
    <w:rsid w:val="002F5856"/>
    <w:rsid w:val="002F5AB3"/>
    <w:rsid w:val="00300CDE"/>
    <w:rsid w:val="0030140C"/>
    <w:rsid w:val="00301691"/>
    <w:rsid w:val="00304210"/>
    <w:rsid w:val="0030665E"/>
    <w:rsid w:val="00306B54"/>
    <w:rsid w:val="00306E9A"/>
    <w:rsid w:val="00312438"/>
    <w:rsid w:val="00317C59"/>
    <w:rsid w:val="00321AFB"/>
    <w:rsid w:val="003242AD"/>
    <w:rsid w:val="00325E4C"/>
    <w:rsid w:val="003273C2"/>
    <w:rsid w:val="0033210F"/>
    <w:rsid w:val="0033690D"/>
    <w:rsid w:val="00336A93"/>
    <w:rsid w:val="00343C2C"/>
    <w:rsid w:val="00343CDA"/>
    <w:rsid w:val="003443D9"/>
    <w:rsid w:val="0034537C"/>
    <w:rsid w:val="00345B66"/>
    <w:rsid w:val="00354588"/>
    <w:rsid w:val="00354EB6"/>
    <w:rsid w:val="00355D7F"/>
    <w:rsid w:val="00364BDB"/>
    <w:rsid w:val="00364F03"/>
    <w:rsid w:val="00366592"/>
    <w:rsid w:val="0036680E"/>
    <w:rsid w:val="00370758"/>
    <w:rsid w:val="00370D74"/>
    <w:rsid w:val="00373049"/>
    <w:rsid w:val="00373B5C"/>
    <w:rsid w:val="00374EB8"/>
    <w:rsid w:val="00374F38"/>
    <w:rsid w:val="00375B86"/>
    <w:rsid w:val="0038067E"/>
    <w:rsid w:val="00384662"/>
    <w:rsid w:val="0038649D"/>
    <w:rsid w:val="003877C3"/>
    <w:rsid w:val="00393A1D"/>
    <w:rsid w:val="00396281"/>
    <w:rsid w:val="00397F9C"/>
    <w:rsid w:val="003A04F0"/>
    <w:rsid w:val="003A08FF"/>
    <w:rsid w:val="003A2DDB"/>
    <w:rsid w:val="003A6452"/>
    <w:rsid w:val="003A724F"/>
    <w:rsid w:val="003B3405"/>
    <w:rsid w:val="003B50A9"/>
    <w:rsid w:val="003B5C43"/>
    <w:rsid w:val="003C3F6F"/>
    <w:rsid w:val="003D0045"/>
    <w:rsid w:val="003D11C4"/>
    <w:rsid w:val="003D6C92"/>
    <w:rsid w:val="003D7E06"/>
    <w:rsid w:val="003E34A9"/>
    <w:rsid w:val="003E71C2"/>
    <w:rsid w:val="003E7EBA"/>
    <w:rsid w:val="003F0B64"/>
    <w:rsid w:val="003F3A87"/>
    <w:rsid w:val="00401A37"/>
    <w:rsid w:val="00402445"/>
    <w:rsid w:val="004119A3"/>
    <w:rsid w:val="004143FF"/>
    <w:rsid w:val="0041510F"/>
    <w:rsid w:val="00416131"/>
    <w:rsid w:val="00417494"/>
    <w:rsid w:val="00425FA4"/>
    <w:rsid w:val="0042753A"/>
    <w:rsid w:val="004309F3"/>
    <w:rsid w:val="0044605A"/>
    <w:rsid w:val="004508E8"/>
    <w:rsid w:val="00463083"/>
    <w:rsid w:val="00465533"/>
    <w:rsid w:val="00465FA1"/>
    <w:rsid w:val="00471168"/>
    <w:rsid w:val="004733F4"/>
    <w:rsid w:val="00474A22"/>
    <w:rsid w:val="004842F6"/>
    <w:rsid w:val="0048460A"/>
    <w:rsid w:val="004879D9"/>
    <w:rsid w:val="00490F4E"/>
    <w:rsid w:val="00497BB6"/>
    <w:rsid w:val="004A0D85"/>
    <w:rsid w:val="004A1A33"/>
    <w:rsid w:val="004A256A"/>
    <w:rsid w:val="004A44EB"/>
    <w:rsid w:val="004A499A"/>
    <w:rsid w:val="004A6409"/>
    <w:rsid w:val="004A6C7F"/>
    <w:rsid w:val="004B05D2"/>
    <w:rsid w:val="004B1D37"/>
    <w:rsid w:val="004B2C8C"/>
    <w:rsid w:val="004C114D"/>
    <w:rsid w:val="004C3A34"/>
    <w:rsid w:val="004C6646"/>
    <w:rsid w:val="004C6B42"/>
    <w:rsid w:val="004D12A4"/>
    <w:rsid w:val="004D49CE"/>
    <w:rsid w:val="004D5DAC"/>
    <w:rsid w:val="004D67C3"/>
    <w:rsid w:val="004E0330"/>
    <w:rsid w:val="004E6FF0"/>
    <w:rsid w:val="004F005C"/>
    <w:rsid w:val="004F174C"/>
    <w:rsid w:val="004F1A60"/>
    <w:rsid w:val="004F1EB3"/>
    <w:rsid w:val="004F2623"/>
    <w:rsid w:val="00500038"/>
    <w:rsid w:val="00503229"/>
    <w:rsid w:val="00504844"/>
    <w:rsid w:val="00507655"/>
    <w:rsid w:val="00507C09"/>
    <w:rsid w:val="00515915"/>
    <w:rsid w:val="00515FE9"/>
    <w:rsid w:val="00517CBF"/>
    <w:rsid w:val="00520526"/>
    <w:rsid w:val="0052274B"/>
    <w:rsid w:val="005228D4"/>
    <w:rsid w:val="00523981"/>
    <w:rsid w:val="005247CD"/>
    <w:rsid w:val="00524EEE"/>
    <w:rsid w:val="00526868"/>
    <w:rsid w:val="0052737C"/>
    <w:rsid w:val="00532559"/>
    <w:rsid w:val="00533AE6"/>
    <w:rsid w:val="0053412D"/>
    <w:rsid w:val="0053435F"/>
    <w:rsid w:val="005345B2"/>
    <w:rsid w:val="00540533"/>
    <w:rsid w:val="00542AD7"/>
    <w:rsid w:val="00544A8E"/>
    <w:rsid w:val="00551327"/>
    <w:rsid w:val="0055635F"/>
    <w:rsid w:val="00556767"/>
    <w:rsid w:val="005572E7"/>
    <w:rsid w:val="0056407E"/>
    <w:rsid w:val="00564296"/>
    <w:rsid w:val="00564A3E"/>
    <w:rsid w:val="0057160F"/>
    <w:rsid w:val="0058076C"/>
    <w:rsid w:val="00580924"/>
    <w:rsid w:val="0058427E"/>
    <w:rsid w:val="00586F14"/>
    <w:rsid w:val="00595CCD"/>
    <w:rsid w:val="005A003C"/>
    <w:rsid w:val="005A15DC"/>
    <w:rsid w:val="005A6948"/>
    <w:rsid w:val="005B2066"/>
    <w:rsid w:val="005B36D6"/>
    <w:rsid w:val="005B4CC2"/>
    <w:rsid w:val="005C12C0"/>
    <w:rsid w:val="005C1EFE"/>
    <w:rsid w:val="005C3003"/>
    <w:rsid w:val="005D039B"/>
    <w:rsid w:val="005D0BD4"/>
    <w:rsid w:val="005D151C"/>
    <w:rsid w:val="005D1E07"/>
    <w:rsid w:val="005D2AD9"/>
    <w:rsid w:val="005D5445"/>
    <w:rsid w:val="005E250F"/>
    <w:rsid w:val="005E47C7"/>
    <w:rsid w:val="005E510D"/>
    <w:rsid w:val="005E6E64"/>
    <w:rsid w:val="005E72B1"/>
    <w:rsid w:val="005E74AE"/>
    <w:rsid w:val="005E7DC3"/>
    <w:rsid w:val="005F081B"/>
    <w:rsid w:val="005F1DF8"/>
    <w:rsid w:val="005F2048"/>
    <w:rsid w:val="005F4D29"/>
    <w:rsid w:val="00602CA2"/>
    <w:rsid w:val="00613AE3"/>
    <w:rsid w:val="00616375"/>
    <w:rsid w:val="00620A5A"/>
    <w:rsid w:val="00636EE6"/>
    <w:rsid w:val="00637077"/>
    <w:rsid w:val="00640FD2"/>
    <w:rsid w:val="00643F0A"/>
    <w:rsid w:val="00644344"/>
    <w:rsid w:val="00645E83"/>
    <w:rsid w:val="006472A4"/>
    <w:rsid w:val="006527AF"/>
    <w:rsid w:val="00654FED"/>
    <w:rsid w:val="006571A5"/>
    <w:rsid w:val="00657C58"/>
    <w:rsid w:val="006609F3"/>
    <w:rsid w:val="00661A5C"/>
    <w:rsid w:val="006625ED"/>
    <w:rsid w:val="00662A8A"/>
    <w:rsid w:val="00663089"/>
    <w:rsid w:val="00663CF1"/>
    <w:rsid w:val="006646B1"/>
    <w:rsid w:val="00667161"/>
    <w:rsid w:val="006704A6"/>
    <w:rsid w:val="00672211"/>
    <w:rsid w:val="00672981"/>
    <w:rsid w:val="00676028"/>
    <w:rsid w:val="006767CD"/>
    <w:rsid w:val="006856C0"/>
    <w:rsid w:val="006A3EE4"/>
    <w:rsid w:val="006A45C5"/>
    <w:rsid w:val="006A4CFB"/>
    <w:rsid w:val="006B125D"/>
    <w:rsid w:val="006B38F8"/>
    <w:rsid w:val="006B44C3"/>
    <w:rsid w:val="006B6A0F"/>
    <w:rsid w:val="006C05EB"/>
    <w:rsid w:val="006C4BA9"/>
    <w:rsid w:val="006C5DF8"/>
    <w:rsid w:val="006D2469"/>
    <w:rsid w:val="006D5CC3"/>
    <w:rsid w:val="006E01F5"/>
    <w:rsid w:val="006E26B0"/>
    <w:rsid w:val="006E708D"/>
    <w:rsid w:val="006E777B"/>
    <w:rsid w:val="006F0D6C"/>
    <w:rsid w:val="006F573A"/>
    <w:rsid w:val="00701504"/>
    <w:rsid w:val="00701D84"/>
    <w:rsid w:val="0070348C"/>
    <w:rsid w:val="007109A7"/>
    <w:rsid w:val="00710D47"/>
    <w:rsid w:val="00712567"/>
    <w:rsid w:val="0072452D"/>
    <w:rsid w:val="007461D4"/>
    <w:rsid w:val="00747CE0"/>
    <w:rsid w:val="00751D9D"/>
    <w:rsid w:val="00754E2D"/>
    <w:rsid w:val="007553FD"/>
    <w:rsid w:val="007627BB"/>
    <w:rsid w:val="00762BF8"/>
    <w:rsid w:val="0076500D"/>
    <w:rsid w:val="007655E2"/>
    <w:rsid w:val="0077028C"/>
    <w:rsid w:val="0078712D"/>
    <w:rsid w:val="007955CA"/>
    <w:rsid w:val="00795C14"/>
    <w:rsid w:val="00797A9B"/>
    <w:rsid w:val="007A12A8"/>
    <w:rsid w:val="007A29A9"/>
    <w:rsid w:val="007A3C53"/>
    <w:rsid w:val="007A6E44"/>
    <w:rsid w:val="007A7894"/>
    <w:rsid w:val="007B22FB"/>
    <w:rsid w:val="007B639A"/>
    <w:rsid w:val="007B738D"/>
    <w:rsid w:val="007C1699"/>
    <w:rsid w:val="007C17A3"/>
    <w:rsid w:val="007C2B0D"/>
    <w:rsid w:val="007C5BF9"/>
    <w:rsid w:val="007D1D91"/>
    <w:rsid w:val="007D4625"/>
    <w:rsid w:val="007D6984"/>
    <w:rsid w:val="007D745F"/>
    <w:rsid w:val="007D77A5"/>
    <w:rsid w:val="007D7EB8"/>
    <w:rsid w:val="007E21CA"/>
    <w:rsid w:val="007E2720"/>
    <w:rsid w:val="007E3DC9"/>
    <w:rsid w:val="007E449D"/>
    <w:rsid w:val="007E6648"/>
    <w:rsid w:val="007F3EBD"/>
    <w:rsid w:val="007F480C"/>
    <w:rsid w:val="007F5AA8"/>
    <w:rsid w:val="007F7840"/>
    <w:rsid w:val="008006C5"/>
    <w:rsid w:val="00804B4C"/>
    <w:rsid w:val="00805117"/>
    <w:rsid w:val="00810748"/>
    <w:rsid w:val="008111F5"/>
    <w:rsid w:val="00811DA5"/>
    <w:rsid w:val="00814999"/>
    <w:rsid w:val="00817D0F"/>
    <w:rsid w:val="008215D9"/>
    <w:rsid w:val="00823B5F"/>
    <w:rsid w:val="00834997"/>
    <w:rsid w:val="00836FB4"/>
    <w:rsid w:val="00843AF6"/>
    <w:rsid w:val="00843D3E"/>
    <w:rsid w:val="00846F55"/>
    <w:rsid w:val="00847A69"/>
    <w:rsid w:val="00850C84"/>
    <w:rsid w:val="0085171D"/>
    <w:rsid w:val="00852114"/>
    <w:rsid w:val="008525A9"/>
    <w:rsid w:val="00855929"/>
    <w:rsid w:val="00856FAB"/>
    <w:rsid w:val="008622E1"/>
    <w:rsid w:val="00864DD7"/>
    <w:rsid w:val="0088354D"/>
    <w:rsid w:val="00886EB8"/>
    <w:rsid w:val="00887B80"/>
    <w:rsid w:val="008918E1"/>
    <w:rsid w:val="00897AD2"/>
    <w:rsid w:val="008A0FEA"/>
    <w:rsid w:val="008A1932"/>
    <w:rsid w:val="008A44B0"/>
    <w:rsid w:val="008A4C50"/>
    <w:rsid w:val="008A4D3C"/>
    <w:rsid w:val="008A5A64"/>
    <w:rsid w:val="008A6B50"/>
    <w:rsid w:val="008B0506"/>
    <w:rsid w:val="008B7B6A"/>
    <w:rsid w:val="008C011E"/>
    <w:rsid w:val="008C2830"/>
    <w:rsid w:val="008C3083"/>
    <w:rsid w:val="008C5F43"/>
    <w:rsid w:val="008C6B22"/>
    <w:rsid w:val="008D32F7"/>
    <w:rsid w:val="008D6D6D"/>
    <w:rsid w:val="008E1E59"/>
    <w:rsid w:val="008E2855"/>
    <w:rsid w:val="008E4EBC"/>
    <w:rsid w:val="008E669E"/>
    <w:rsid w:val="008E709D"/>
    <w:rsid w:val="008E781D"/>
    <w:rsid w:val="008F42A1"/>
    <w:rsid w:val="008F514F"/>
    <w:rsid w:val="00903C9B"/>
    <w:rsid w:val="009045F9"/>
    <w:rsid w:val="00907BCF"/>
    <w:rsid w:val="00910643"/>
    <w:rsid w:val="0091172D"/>
    <w:rsid w:val="00914E09"/>
    <w:rsid w:val="00917621"/>
    <w:rsid w:val="009233AA"/>
    <w:rsid w:val="00924CB4"/>
    <w:rsid w:val="00926469"/>
    <w:rsid w:val="0093027D"/>
    <w:rsid w:val="009311F3"/>
    <w:rsid w:val="00932D28"/>
    <w:rsid w:val="009334CC"/>
    <w:rsid w:val="009339CD"/>
    <w:rsid w:val="00936FF3"/>
    <w:rsid w:val="009408C3"/>
    <w:rsid w:val="0094340F"/>
    <w:rsid w:val="00944410"/>
    <w:rsid w:val="00957269"/>
    <w:rsid w:val="00962568"/>
    <w:rsid w:val="00962733"/>
    <w:rsid w:val="0096324D"/>
    <w:rsid w:val="00965CA6"/>
    <w:rsid w:val="00966437"/>
    <w:rsid w:val="00970D3C"/>
    <w:rsid w:val="00983326"/>
    <w:rsid w:val="009926AF"/>
    <w:rsid w:val="00993164"/>
    <w:rsid w:val="00995352"/>
    <w:rsid w:val="009975B8"/>
    <w:rsid w:val="009A2EAC"/>
    <w:rsid w:val="009A556E"/>
    <w:rsid w:val="009A7DE0"/>
    <w:rsid w:val="009B1DE2"/>
    <w:rsid w:val="009B3F14"/>
    <w:rsid w:val="009B407A"/>
    <w:rsid w:val="009B66A8"/>
    <w:rsid w:val="009B6830"/>
    <w:rsid w:val="009B7C6E"/>
    <w:rsid w:val="009C1501"/>
    <w:rsid w:val="009C299C"/>
    <w:rsid w:val="009C466D"/>
    <w:rsid w:val="009C5FA9"/>
    <w:rsid w:val="009C7597"/>
    <w:rsid w:val="009D17A0"/>
    <w:rsid w:val="009D44FF"/>
    <w:rsid w:val="009D65F4"/>
    <w:rsid w:val="009D72C6"/>
    <w:rsid w:val="009E2C3C"/>
    <w:rsid w:val="009E7985"/>
    <w:rsid w:val="00A00A86"/>
    <w:rsid w:val="00A06312"/>
    <w:rsid w:val="00A06AAA"/>
    <w:rsid w:val="00A10315"/>
    <w:rsid w:val="00A11DBF"/>
    <w:rsid w:val="00A152AC"/>
    <w:rsid w:val="00A2276B"/>
    <w:rsid w:val="00A234C4"/>
    <w:rsid w:val="00A237D0"/>
    <w:rsid w:val="00A2555D"/>
    <w:rsid w:val="00A25A6E"/>
    <w:rsid w:val="00A32257"/>
    <w:rsid w:val="00A40000"/>
    <w:rsid w:val="00A41BDC"/>
    <w:rsid w:val="00A425E5"/>
    <w:rsid w:val="00A505AD"/>
    <w:rsid w:val="00A51C54"/>
    <w:rsid w:val="00A5239A"/>
    <w:rsid w:val="00A55EB0"/>
    <w:rsid w:val="00A63C80"/>
    <w:rsid w:val="00A648D3"/>
    <w:rsid w:val="00A67767"/>
    <w:rsid w:val="00A75456"/>
    <w:rsid w:val="00A804EB"/>
    <w:rsid w:val="00A81606"/>
    <w:rsid w:val="00A81664"/>
    <w:rsid w:val="00A83289"/>
    <w:rsid w:val="00A83720"/>
    <w:rsid w:val="00A84C9F"/>
    <w:rsid w:val="00A8512C"/>
    <w:rsid w:val="00A85640"/>
    <w:rsid w:val="00A87DAD"/>
    <w:rsid w:val="00A923F5"/>
    <w:rsid w:val="00A95503"/>
    <w:rsid w:val="00A97901"/>
    <w:rsid w:val="00A97980"/>
    <w:rsid w:val="00AA5DA0"/>
    <w:rsid w:val="00AB091C"/>
    <w:rsid w:val="00AB154A"/>
    <w:rsid w:val="00AB2084"/>
    <w:rsid w:val="00AB3029"/>
    <w:rsid w:val="00AB30C0"/>
    <w:rsid w:val="00AB5A95"/>
    <w:rsid w:val="00AB60AB"/>
    <w:rsid w:val="00AB6869"/>
    <w:rsid w:val="00AC2756"/>
    <w:rsid w:val="00AC3041"/>
    <w:rsid w:val="00AD4E89"/>
    <w:rsid w:val="00AD7981"/>
    <w:rsid w:val="00AE6B73"/>
    <w:rsid w:val="00AF44B1"/>
    <w:rsid w:val="00AF4C88"/>
    <w:rsid w:val="00AF7DA0"/>
    <w:rsid w:val="00B01E43"/>
    <w:rsid w:val="00B02E40"/>
    <w:rsid w:val="00B05877"/>
    <w:rsid w:val="00B05E1A"/>
    <w:rsid w:val="00B11865"/>
    <w:rsid w:val="00B13501"/>
    <w:rsid w:val="00B14BE8"/>
    <w:rsid w:val="00B273DC"/>
    <w:rsid w:val="00B31A89"/>
    <w:rsid w:val="00B32F9A"/>
    <w:rsid w:val="00B40893"/>
    <w:rsid w:val="00B41271"/>
    <w:rsid w:val="00B43370"/>
    <w:rsid w:val="00B4547E"/>
    <w:rsid w:val="00B469DA"/>
    <w:rsid w:val="00B473DE"/>
    <w:rsid w:val="00B477D0"/>
    <w:rsid w:val="00B502E8"/>
    <w:rsid w:val="00B50FDA"/>
    <w:rsid w:val="00B5252D"/>
    <w:rsid w:val="00B5382E"/>
    <w:rsid w:val="00B53CE9"/>
    <w:rsid w:val="00B56F09"/>
    <w:rsid w:val="00B626FE"/>
    <w:rsid w:val="00B646A2"/>
    <w:rsid w:val="00B65CCD"/>
    <w:rsid w:val="00B67B69"/>
    <w:rsid w:val="00B67CDF"/>
    <w:rsid w:val="00B82702"/>
    <w:rsid w:val="00BA067A"/>
    <w:rsid w:val="00BA1498"/>
    <w:rsid w:val="00BA2C2F"/>
    <w:rsid w:val="00BA2EBA"/>
    <w:rsid w:val="00BA3B4B"/>
    <w:rsid w:val="00BA44E5"/>
    <w:rsid w:val="00BA6513"/>
    <w:rsid w:val="00BA7C98"/>
    <w:rsid w:val="00BB29AD"/>
    <w:rsid w:val="00BB7CC5"/>
    <w:rsid w:val="00BC3737"/>
    <w:rsid w:val="00BD1550"/>
    <w:rsid w:val="00BD1ADC"/>
    <w:rsid w:val="00BD2E74"/>
    <w:rsid w:val="00BD691F"/>
    <w:rsid w:val="00BD76C3"/>
    <w:rsid w:val="00BD7D51"/>
    <w:rsid w:val="00BE2FB3"/>
    <w:rsid w:val="00BF0ECE"/>
    <w:rsid w:val="00BF27E3"/>
    <w:rsid w:val="00BF3763"/>
    <w:rsid w:val="00BF476A"/>
    <w:rsid w:val="00C103AD"/>
    <w:rsid w:val="00C1043D"/>
    <w:rsid w:val="00C13F6E"/>
    <w:rsid w:val="00C144A3"/>
    <w:rsid w:val="00C1493E"/>
    <w:rsid w:val="00C155F1"/>
    <w:rsid w:val="00C17D00"/>
    <w:rsid w:val="00C206D7"/>
    <w:rsid w:val="00C228A2"/>
    <w:rsid w:val="00C2391E"/>
    <w:rsid w:val="00C26E67"/>
    <w:rsid w:val="00C30577"/>
    <w:rsid w:val="00C40351"/>
    <w:rsid w:val="00C4258E"/>
    <w:rsid w:val="00C446F7"/>
    <w:rsid w:val="00C457D0"/>
    <w:rsid w:val="00C5027D"/>
    <w:rsid w:val="00C508B4"/>
    <w:rsid w:val="00C52C55"/>
    <w:rsid w:val="00C53271"/>
    <w:rsid w:val="00C6038F"/>
    <w:rsid w:val="00C61B97"/>
    <w:rsid w:val="00C658A9"/>
    <w:rsid w:val="00C662B2"/>
    <w:rsid w:val="00C662D7"/>
    <w:rsid w:val="00C708D6"/>
    <w:rsid w:val="00C714A6"/>
    <w:rsid w:val="00C7233A"/>
    <w:rsid w:val="00C7737B"/>
    <w:rsid w:val="00C77519"/>
    <w:rsid w:val="00C77716"/>
    <w:rsid w:val="00C77811"/>
    <w:rsid w:val="00C80DB3"/>
    <w:rsid w:val="00C8289B"/>
    <w:rsid w:val="00C83548"/>
    <w:rsid w:val="00C84ECE"/>
    <w:rsid w:val="00C862C1"/>
    <w:rsid w:val="00C86551"/>
    <w:rsid w:val="00C92BC3"/>
    <w:rsid w:val="00C96357"/>
    <w:rsid w:val="00CA1C8F"/>
    <w:rsid w:val="00CA25E3"/>
    <w:rsid w:val="00CA2F87"/>
    <w:rsid w:val="00CA433F"/>
    <w:rsid w:val="00CA7AA2"/>
    <w:rsid w:val="00CB2951"/>
    <w:rsid w:val="00CB4964"/>
    <w:rsid w:val="00CB6386"/>
    <w:rsid w:val="00CC0EB6"/>
    <w:rsid w:val="00CC14CC"/>
    <w:rsid w:val="00CC2AF8"/>
    <w:rsid w:val="00CC4674"/>
    <w:rsid w:val="00CD0891"/>
    <w:rsid w:val="00CD2B16"/>
    <w:rsid w:val="00CD416A"/>
    <w:rsid w:val="00CD43A9"/>
    <w:rsid w:val="00CD6714"/>
    <w:rsid w:val="00CE0837"/>
    <w:rsid w:val="00CE38B9"/>
    <w:rsid w:val="00CE73D6"/>
    <w:rsid w:val="00CF0211"/>
    <w:rsid w:val="00CF0412"/>
    <w:rsid w:val="00CF067A"/>
    <w:rsid w:val="00CF26CD"/>
    <w:rsid w:val="00CF3C72"/>
    <w:rsid w:val="00CF42FD"/>
    <w:rsid w:val="00CF4308"/>
    <w:rsid w:val="00CF647B"/>
    <w:rsid w:val="00CF74FF"/>
    <w:rsid w:val="00D009DC"/>
    <w:rsid w:val="00D072C9"/>
    <w:rsid w:val="00D111CA"/>
    <w:rsid w:val="00D1272C"/>
    <w:rsid w:val="00D14542"/>
    <w:rsid w:val="00D1557A"/>
    <w:rsid w:val="00D16C01"/>
    <w:rsid w:val="00D17639"/>
    <w:rsid w:val="00D20C39"/>
    <w:rsid w:val="00D24371"/>
    <w:rsid w:val="00D25EDA"/>
    <w:rsid w:val="00D27866"/>
    <w:rsid w:val="00D3313F"/>
    <w:rsid w:val="00D33CCC"/>
    <w:rsid w:val="00D37727"/>
    <w:rsid w:val="00D40D07"/>
    <w:rsid w:val="00D532E1"/>
    <w:rsid w:val="00D53B34"/>
    <w:rsid w:val="00D53C92"/>
    <w:rsid w:val="00D56B71"/>
    <w:rsid w:val="00D60930"/>
    <w:rsid w:val="00D666A6"/>
    <w:rsid w:val="00D676F4"/>
    <w:rsid w:val="00D71A6C"/>
    <w:rsid w:val="00D7391B"/>
    <w:rsid w:val="00D74C93"/>
    <w:rsid w:val="00D80EFF"/>
    <w:rsid w:val="00D8150E"/>
    <w:rsid w:val="00D85D92"/>
    <w:rsid w:val="00D86B0B"/>
    <w:rsid w:val="00D87906"/>
    <w:rsid w:val="00D96F0B"/>
    <w:rsid w:val="00D97380"/>
    <w:rsid w:val="00DA0422"/>
    <w:rsid w:val="00DA317A"/>
    <w:rsid w:val="00DB081E"/>
    <w:rsid w:val="00DB608D"/>
    <w:rsid w:val="00DB6F87"/>
    <w:rsid w:val="00DB7D13"/>
    <w:rsid w:val="00DC3F52"/>
    <w:rsid w:val="00DC5C01"/>
    <w:rsid w:val="00DC5E8A"/>
    <w:rsid w:val="00DD3621"/>
    <w:rsid w:val="00DD3C90"/>
    <w:rsid w:val="00DD3EC8"/>
    <w:rsid w:val="00DD6F26"/>
    <w:rsid w:val="00DE206C"/>
    <w:rsid w:val="00DE38AB"/>
    <w:rsid w:val="00DE6664"/>
    <w:rsid w:val="00DE6CF3"/>
    <w:rsid w:val="00DE7846"/>
    <w:rsid w:val="00DF0126"/>
    <w:rsid w:val="00DF0E8B"/>
    <w:rsid w:val="00DF3DEB"/>
    <w:rsid w:val="00DF57F7"/>
    <w:rsid w:val="00E013DE"/>
    <w:rsid w:val="00E03DE9"/>
    <w:rsid w:val="00E04772"/>
    <w:rsid w:val="00E069A1"/>
    <w:rsid w:val="00E07A85"/>
    <w:rsid w:val="00E07B8A"/>
    <w:rsid w:val="00E148DB"/>
    <w:rsid w:val="00E161DE"/>
    <w:rsid w:val="00E16CE6"/>
    <w:rsid w:val="00E172C1"/>
    <w:rsid w:val="00E24624"/>
    <w:rsid w:val="00E25184"/>
    <w:rsid w:val="00E26676"/>
    <w:rsid w:val="00E26A14"/>
    <w:rsid w:val="00E300AD"/>
    <w:rsid w:val="00E3211E"/>
    <w:rsid w:val="00E35D52"/>
    <w:rsid w:val="00E3728F"/>
    <w:rsid w:val="00E46116"/>
    <w:rsid w:val="00E47840"/>
    <w:rsid w:val="00E502D7"/>
    <w:rsid w:val="00E61074"/>
    <w:rsid w:val="00E62A2A"/>
    <w:rsid w:val="00E63204"/>
    <w:rsid w:val="00E63681"/>
    <w:rsid w:val="00E70503"/>
    <w:rsid w:val="00E73953"/>
    <w:rsid w:val="00E74CAD"/>
    <w:rsid w:val="00E75D7F"/>
    <w:rsid w:val="00E76D74"/>
    <w:rsid w:val="00E814D3"/>
    <w:rsid w:val="00E83578"/>
    <w:rsid w:val="00E8665D"/>
    <w:rsid w:val="00E90640"/>
    <w:rsid w:val="00E90CDB"/>
    <w:rsid w:val="00E94EFD"/>
    <w:rsid w:val="00E976FC"/>
    <w:rsid w:val="00EA19A1"/>
    <w:rsid w:val="00EA6196"/>
    <w:rsid w:val="00EA7C25"/>
    <w:rsid w:val="00EB04E4"/>
    <w:rsid w:val="00EB0F71"/>
    <w:rsid w:val="00EB2953"/>
    <w:rsid w:val="00EB2ED4"/>
    <w:rsid w:val="00EB3835"/>
    <w:rsid w:val="00EB4B2F"/>
    <w:rsid w:val="00EB58D7"/>
    <w:rsid w:val="00EB79B5"/>
    <w:rsid w:val="00EC1969"/>
    <w:rsid w:val="00EC2940"/>
    <w:rsid w:val="00EC4775"/>
    <w:rsid w:val="00EC62E2"/>
    <w:rsid w:val="00ED33DF"/>
    <w:rsid w:val="00ED4848"/>
    <w:rsid w:val="00EE0895"/>
    <w:rsid w:val="00EE2F47"/>
    <w:rsid w:val="00EE6774"/>
    <w:rsid w:val="00EE79FA"/>
    <w:rsid w:val="00EF0B33"/>
    <w:rsid w:val="00EF6305"/>
    <w:rsid w:val="00EF634B"/>
    <w:rsid w:val="00F012F8"/>
    <w:rsid w:val="00F049FC"/>
    <w:rsid w:val="00F167EF"/>
    <w:rsid w:val="00F178EC"/>
    <w:rsid w:val="00F17B5B"/>
    <w:rsid w:val="00F2012C"/>
    <w:rsid w:val="00F268D1"/>
    <w:rsid w:val="00F27B02"/>
    <w:rsid w:val="00F310A7"/>
    <w:rsid w:val="00F31A5D"/>
    <w:rsid w:val="00F3442F"/>
    <w:rsid w:val="00F34547"/>
    <w:rsid w:val="00F34FAB"/>
    <w:rsid w:val="00F413A5"/>
    <w:rsid w:val="00F42B5E"/>
    <w:rsid w:val="00F547EB"/>
    <w:rsid w:val="00F603CE"/>
    <w:rsid w:val="00F60A7E"/>
    <w:rsid w:val="00F6101F"/>
    <w:rsid w:val="00F65CA3"/>
    <w:rsid w:val="00F7116F"/>
    <w:rsid w:val="00F7168F"/>
    <w:rsid w:val="00F71F79"/>
    <w:rsid w:val="00F74E4F"/>
    <w:rsid w:val="00F75665"/>
    <w:rsid w:val="00F81E13"/>
    <w:rsid w:val="00F828D5"/>
    <w:rsid w:val="00F84981"/>
    <w:rsid w:val="00F85553"/>
    <w:rsid w:val="00F9669D"/>
    <w:rsid w:val="00FA62A3"/>
    <w:rsid w:val="00FA7DB2"/>
    <w:rsid w:val="00FB134C"/>
    <w:rsid w:val="00FC24A4"/>
    <w:rsid w:val="00FC24E7"/>
    <w:rsid w:val="00FC4655"/>
    <w:rsid w:val="00FC6FBB"/>
    <w:rsid w:val="00FD6812"/>
    <w:rsid w:val="00FE131E"/>
    <w:rsid w:val="00FE1C18"/>
    <w:rsid w:val="00FE2329"/>
    <w:rsid w:val="00FE29CD"/>
    <w:rsid w:val="00FE3D35"/>
    <w:rsid w:val="00FE7C9F"/>
    <w:rsid w:val="00FF1436"/>
    <w:rsid w:val="00FF261B"/>
    <w:rsid w:val="00FF3DA3"/>
    <w:rsid w:val="00FF4CC8"/>
    <w:rsid w:val="7D884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3D711"/>
  <w15:docId w15:val="{EC9A2042-29A7-46CC-AAAF-E2CDBE93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5E2"/>
    <w:rPr>
      <w:rFonts w:ascii="Arial" w:hAnsi="Arial"/>
      <w:bCs/>
      <w:sz w:val="24"/>
      <w:lang w:eastAsia="en-US"/>
    </w:rPr>
  </w:style>
  <w:style w:type="paragraph" w:styleId="Heading1">
    <w:name w:val="heading 1"/>
    <w:basedOn w:val="Normal"/>
    <w:next w:val="Normal"/>
    <w:autoRedefine/>
    <w:qFormat/>
    <w:rsid w:val="0033690D"/>
    <w:pPr>
      <w:keepNext/>
      <w:numPr>
        <w:numId w:val="19"/>
      </w:numPr>
      <w:outlineLvl w:val="0"/>
    </w:pPr>
    <w:rPr>
      <w:b/>
    </w:rPr>
  </w:style>
  <w:style w:type="paragraph" w:styleId="Heading2">
    <w:name w:val="heading 2"/>
    <w:basedOn w:val="Normal"/>
    <w:next w:val="Normal"/>
    <w:autoRedefine/>
    <w:qFormat/>
    <w:rsid w:val="000F7751"/>
    <w:pPr>
      <w:keepNext/>
      <w:numPr>
        <w:ilvl w:val="1"/>
        <w:numId w:val="19"/>
      </w:numPr>
      <w:ind w:left="567"/>
      <w:outlineLvl w:val="1"/>
    </w:pPr>
    <w:rPr>
      <w:b/>
    </w:rPr>
  </w:style>
  <w:style w:type="paragraph" w:styleId="Heading3">
    <w:name w:val="heading 3"/>
    <w:basedOn w:val="Normal"/>
    <w:next w:val="Normal"/>
    <w:autoRedefine/>
    <w:qFormat/>
    <w:rsid w:val="00325E4C"/>
    <w:pPr>
      <w:keepNext/>
      <w:numPr>
        <w:ilvl w:val="2"/>
        <w:numId w:val="19"/>
      </w:numPr>
      <w:outlineLvl w:val="2"/>
    </w:pPr>
    <w:rPr>
      <w:b/>
    </w:rPr>
  </w:style>
  <w:style w:type="paragraph" w:styleId="Heading4">
    <w:name w:val="heading 4"/>
    <w:basedOn w:val="Normal"/>
    <w:next w:val="Normal"/>
    <w:autoRedefine/>
    <w:qFormat/>
    <w:rsid w:val="00325E4C"/>
    <w:pPr>
      <w:keepNext/>
      <w:numPr>
        <w:ilvl w:val="3"/>
        <w:numId w:val="19"/>
      </w:numPr>
      <w:outlineLvl w:val="3"/>
    </w:pPr>
    <w:rPr>
      <w:b/>
      <w:bCs w:val="0"/>
    </w:rPr>
  </w:style>
  <w:style w:type="paragraph" w:styleId="Heading5">
    <w:name w:val="heading 5"/>
    <w:basedOn w:val="Normal"/>
    <w:next w:val="Normal"/>
    <w:autoRedefine/>
    <w:qFormat/>
    <w:rsid w:val="00325E4C"/>
    <w:pPr>
      <w:keepNext/>
      <w:numPr>
        <w:ilvl w:val="4"/>
        <w:numId w:val="19"/>
      </w:numPr>
      <w:outlineLvl w:val="4"/>
    </w:pPr>
    <w:rPr>
      <w:b/>
    </w:rPr>
  </w:style>
  <w:style w:type="paragraph" w:styleId="Heading6">
    <w:name w:val="heading 6"/>
    <w:basedOn w:val="Normal"/>
    <w:next w:val="Normal"/>
    <w:autoRedefine/>
    <w:qFormat/>
    <w:rsid w:val="00325E4C"/>
    <w:pPr>
      <w:keepNext/>
      <w:numPr>
        <w:ilvl w:val="5"/>
        <w:numId w:val="19"/>
      </w:numPr>
      <w:tabs>
        <w:tab w:val="left" w:pos="810"/>
        <w:tab w:val="left" w:pos="1710"/>
      </w:tabs>
      <w:outlineLvl w:val="5"/>
    </w:pPr>
    <w:rPr>
      <w:b/>
    </w:rPr>
  </w:style>
  <w:style w:type="paragraph" w:styleId="Heading7">
    <w:name w:val="heading 7"/>
    <w:basedOn w:val="Normal"/>
    <w:next w:val="Normal"/>
    <w:qFormat/>
    <w:rsid w:val="00325E4C"/>
    <w:pPr>
      <w:keepNext/>
      <w:numPr>
        <w:ilvl w:val="6"/>
        <w:numId w:val="19"/>
      </w:numPr>
      <w:jc w:val="center"/>
      <w:outlineLvl w:val="6"/>
    </w:pPr>
  </w:style>
  <w:style w:type="paragraph" w:styleId="Heading8">
    <w:name w:val="heading 8"/>
    <w:basedOn w:val="Normal"/>
    <w:next w:val="Normal"/>
    <w:qFormat/>
    <w:rsid w:val="00325E4C"/>
    <w:pPr>
      <w:keepNext/>
      <w:numPr>
        <w:ilvl w:val="7"/>
        <w:numId w:val="19"/>
      </w:numPr>
      <w:outlineLvl w:val="7"/>
    </w:pPr>
    <w:rPr>
      <w:b/>
    </w:rPr>
  </w:style>
  <w:style w:type="paragraph" w:styleId="Heading9">
    <w:name w:val="heading 9"/>
    <w:basedOn w:val="Normal"/>
    <w:next w:val="Normal"/>
    <w:qFormat/>
    <w:rsid w:val="00325E4C"/>
    <w:pPr>
      <w:keepNext/>
      <w:numPr>
        <w:ilvl w:val="8"/>
        <w:numId w:val="19"/>
      </w:numPr>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354D"/>
    <w:rPr>
      <w:sz w:val="36"/>
    </w:rPr>
  </w:style>
  <w:style w:type="paragraph" w:styleId="Header">
    <w:name w:val="header"/>
    <w:basedOn w:val="Normal"/>
    <w:rsid w:val="0088354D"/>
    <w:pPr>
      <w:tabs>
        <w:tab w:val="center" w:pos="4153"/>
        <w:tab w:val="right" w:pos="8306"/>
      </w:tabs>
    </w:pPr>
    <w:rPr>
      <w:sz w:val="20"/>
    </w:rPr>
  </w:style>
  <w:style w:type="paragraph" w:styleId="Footer">
    <w:name w:val="footer"/>
    <w:basedOn w:val="Normal"/>
    <w:link w:val="FooterChar"/>
    <w:rsid w:val="0088354D"/>
    <w:pPr>
      <w:tabs>
        <w:tab w:val="center" w:pos="4153"/>
        <w:tab w:val="right" w:pos="8306"/>
      </w:tabs>
    </w:pPr>
  </w:style>
  <w:style w:type="character" w:styleId="PageNumber">
    <w:name w:val="page number"/>
    <w:basedOn w:val="DefaultParagraphFont"/>
    <w:rsid w:val="0088354D"/>
  </w:style>
  <w:style w:type="paragraph" w:styleId="Subtitle">
    <w:name w:val="Subtitle"/>
    <w:basedOn w:val="Normal"/>
    <w:qFormat/>
    <w:rsid w:val="0088354D"/>
  </w:style>
  <w:style w:type="paragraph" w:styleId="BodyTextIndent">
    <w:name w:val="Body Text Indent"/>
    <w:basedOn w:val="Normal"/>
    <w:rsid w:val="0088354D"/>
    <w:pPr>
      <w:ind w:left="720" w:hanging="720"/>
    </w:pPr>
  </w:style>
  <w:style w:type="paragraph" w:styleId="BodyTextIndent3">
    <w:name w:val="Body Text Indent 3"/>
    <w:basedOn w:val="Normal"/>
    <w:rsid w:val="0088354D"/>
    <w:pPr>
      <w:ind w:left="720"/>
    </w:pPr>
  </w:style>
  <w:style w:type="paragraph" w:styleId="BodyTextIndent2">
    <w:name w:val="Body Text Indent 2"/>
    <w:basedOn w:val="Normal"/>
    <w:rsid w:val="0088354D"/>
    <w:pPr>
      <w:ind w:left="1800"/>
    </w:pPr>
  </w:style>
  <w:style w:type="paragraph" w:styleId="BodyText2">
    <w:name w:val="Body Text 2"/>
    <w:basedOn w:val="Normal"/>
    <w:rsid w:val="0088354D"/>
  </w:style>
  <w:style w:type="paragraph" w:styleId="BodyText3">
    <w:name w:val="Body Text 3"/>
    <w:basedOn w:val="Normal"/>
    <w:rsid w:val="0088354D"/>
    <w:rPr>
      <w:b/>
      <w:bCs w:val="0"/>
    </w:rPr>
  </w:style>
  <w:style w:type="character" w:styleId="Strong">
    <w:name w:val="Strong"/>
    <w:basedOn w:val="DefaultParagraphFont"/>
    <w:qFormat/>
    <w:rsid w:val="00E8665D"/>
    <w:rPr>
      <w:rFonts w:ascii="Arial" w:hAnsi="Arial"/>
      <w:b/>
      <w:bCs/>
      <w:sz w:val="24"/>
    </w:rPr>
  </w:style>
  <w:style w:type="character" w:styleId="Hyperlink">
    <w:name w:val="Hyperlink"/>
    <w:basedOn w:val="DefaultParagraphFont"/>
    <w:uiPriority w:val="99"/>
    <w:rsid w:val="0088354D"/>
    <w:rPr>
      <w:color w:val="0000FF"/>
      <w:u w:val="single"/>
    </w:rPr>
  </w:style>
  <w:style w:type="character" w:styleId="FollowedHyperlink">
    <w:name w:val="FollowedHyperlink"/>
    <w:basedOn w:val="DefaultParagraphFont"/>
    <w:rsid w:val="0088354D"/>
    <w:rPr>
      <w:color w:val="800080"/>
      <w:u w:val="single"/>
    </w:rPr>
  </w:style>
  <w:style w:type="paragraph" w:styleId="Caption">
    <w:name w:val="caption"/>
    <w:basedOn w:val="Normal"/>
    <w:next w:val="Normal"/>
    <w:qFormat/>
    <w:rsid w:val="0088354D"/>
    <w:rPr>
      <w:b/>
      <w:bCs w:val="0"/>
    </w:rPr>
  </w:style>
  <w:style w:type="paragraph" w:styleId="Title">
    <w:name w:val="Title"/>
    <w:basedOn w:val="Normal"/>
    <w:qFormat/>
    <w:rsid w:val="0088354D"/>
    <w:pPr>
      <w:jc w:val="center"/>
    </w:pPr>
    <w:rPr>
      <w:b/>
      <w:sz w:val="22"/>
      <w:szCs w:val="24"/>
    </w:rPr>
  </w:style>
  <w:style w:type="table" w:styleId="TableGrid">
    <w:name w:val="Table Grid"/>
    <w:basedOn w:val="TableNormal"/>
    <w:rsid w:val="0084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666A6"/>
    <w:rPr>
      <w:bCs/>
      <w:sz w:val="24"/>
      <w:lang w:val="en-GB" w:eastAsia="en-US" w:bidi="ar-SA"/>
    </w:rPr>
  </w:style>
  <w:style w:type="paragraph" w:styleId="BalloonText">
    <w:name w:val="Balloon Text"/>
    <w:basedOn w:val="Normal"/>
    <w:semiHidden/>
    <w:rsid w:val="0044605A"/>
    <w:rPr>
      <w:rFonts w:ascii="Tahoma" w:hAnsi="Tahoma" w:cs="Tahoma"/>
      <w:sz w:val="16"/>
      <w:szCs w:val="16"/>
    </w:rPr>
  </w:style>
  <w:style w:type="paragraph" w:styleId="TOC3">
    <w:name w:val="toc 3"/>
    <w:basedOn w:val="Normal"/>
    <w:next w:val="Normal"/>
    <w:autoRedefine/>
    <w:uiPriority w:val="39"/>
    <w:rsid w:val="004A6C7F"/>
    <w:pPr>
      <w:tabs>
        <w:tab w:val="left" w:pos="1418"/>
        <w:tab w:val="right" w:leader="dot" w:pos="9628"/>
      </w:tabs>
      <w:ind w:left="1418" w:hanging="938"/>
    </w:pPr>
  </w:style>
  <w:style w:type="paragraph" w:styleId="TOC9">
    <w:name w:val="toc 9"/>
    <w:basedOn w:val="Normal"/>
    <w:next w:val="Normal"/>
    <w:autoRedefine/>
    <w:rsid w:val="009311F3"/>
    <w:pPr>
      <w:ind w:left="1920"/>
    </w:pPr>
  </w:style>
  <w:style w:type="paragraph" w:styleId="TOC1">
    <w:name w:val="toc 1"/>
    <w:basedOn w:val="Normal"/>
    <w:next w:val="Normal"/>
    <w:autoRedefine/>
    <w:uiPriority w:val="39"/>
    <w:rsid w:val="00297E78"/>
    <w:pPr>
      <w:tabs>
        <w:tab w:val="left" w:pos="567"/>
        <w:tab w:val="right" w:leader="dot" w:pos="9628"/>
      </w:tabs>
      <w:spacing w:before="40"/>
      <w:ind w:left="567" w:hanging="567"/>
    </w:pPr>
  </w:style>
  <w:style w:type="paragraph" w:styleId="TOC2">
    <w:name w:val="toc 2"/>
    <w:basedOn w:val="Normal"/>
    <w:next w:val="Normal"/>
    <w:autoRedefine/>
    <w:uiPriority w:val="39"/>
    <w:rsid w:val="004A6C7F"/>
    <w:pPr>
      <w:tabs>
        <w:tab w:val="left" w:pos="851"/>
        <w:tab w:val="right" w:leader="dot" w:pos="9628"/>
      </w:tabs>
      <w:ind w:left="851" w:hanging="611"/>
    </w:pPr>
  </w:style>
  <w:style w:type="paragraph" w:styleId="TOC4">
    <w:name w:val="toc 4"/>
    <w:basedOn w:val="Normal"/>
    <w:next w:val="Normal"/>
    <w:autoRedefine/>
    <w:uiPriority w:val="39"/>
    <w:rsid w:val="004A6C7F"/>
    <w:pPr>
      <w:tabs>
        <w:tab w:val="left" w:pos="1701"/>
        <w:tab w:val="right" w:leader="dot" w:pos="9628"/>
      </w:tabs>
      <w:ind w:left="1701" w:hanging="981"/>
    </w:pPr>
  </w:style>
  <w:style w:type="paragraph" w:styleId="ListParagraph">
    <w:name w:val="List Paragraph"/>
    <w:basedOn w:val="Normal"/>
    <w:autoRedefine/>
    <w:uiPriority w:val="34"/>
    <w:qFormat/>
    <w:rsid w:val="00556767"/>
    <w:pPr>
      <w:numPr>
        <w:numId w:val="16"/>
      </w:numPr>
      <w:spacing w:before="120" w:after="120"/>
    </w:pPr>
  </w:style>
  <w:style w:type="paragraph" w:customStyle="1" w:styleId="Appendix">
    <w:name w:val="Appendix"/>
    <w:basedOn w:val="Heading1"/>
    <w:qFormat/>
    <w:rsid w:val="00E61074"/>
    <w:pPr>
      <w:numPr>
        <w:numId w:val="0"/>
      </w:numPr>
    </w:pPr>
  </w:style>
  <w:style w:type="paragraph" w:customStyle="1" w:styleId="BulletLevel1">
    <w:name w:val="Bullet Level 1"/>
    <w:basedOn w:val="Normal"/>
    <w:autoRedefine/>
    <w:qFormat/>
    <w:rsid w:val="008622E1"/>
    <w:pPr>
      <w:numPr>
        <w:numId w:val="11"/>
      </w:numPr>
      <w:tabs>
        <w:tab w:val="left" w:pos="567"/>
        <w:tab w:val="left" w:pos="4536"/>
        <w:tab w:val="left" w:pos="5670"/>
      </w:tabs>
      <w:spacing w:after="120"/>
      <w:ind w:left="567" w:hanging="567"/>
    </w:pPr>
    <w:rPr>
      <w:snapToGrid w:val="0"/>
    </w:rPr>
  </w:style>
  <w:style w:type="paragraph" w:customStyle="1" w:styleId="BulletLevel2">
    <w:name w:val="Bullet Level 2"/>
    <w:basedOn w:val="BulletLevel1"/>
    <w:autoRedefine/>
    <w:qFormat/>
    <w:rsid w:val="00932D28"/>
    <w:pPr>
      <w:numPr>
        <w:numId w:val="5"/>
      </w:numPr>
      <w:tabs>
        <w:tab w:val="left" w:pos="1134"/>
      </w:tabs>
      <w:ind w:left="1134" w:hanging="567"/>
    </w:pPr>
  </w:style>
  <w:style w:type="paragraph" w:customStyle="1" w:styleId="BulletLevel3">
    <w:name w:val="Bullet Level 3"/>
    <w:basedOn w:val="BulletLevel2"/>
    <w:autoRedefine/>
    <w:qFormat/>
    <w:rsid w:val="000D4580"/>
    <w:pPr>
      <w:tabs>
        <w:tab w:val="left" w:pos="1701"/>
      </w:tabs>
      <w:ind w:left="1701"/>
    </w:pPr>
  </w:style>
  <w:style w:type="paragraph" w:customStyle="1" w:styleId="Number3">
    <w:name w:val="Number 3"/>
    <w:basedOn w:val="Normal"/>
    <w:next w:val="ListNumber3"/>
    <w:autoRedefine/>
    <w:qFormat/>
    <w:rsid w:val="00CD2B16"/>
    <w:pPr>
      <w:numPr>
        <w:numId w:val="7"/>
      </w:numPr>
    </w:pPr>
    <w:rPr>
      <w:lang w:val="en-US"/>
    </w:rPr>
  </w:style>
  <w:style w:type="paragraph" w:styleId="ListNumber3">
    <w:name w:val="List Number 3"/>
    <w:basedOn w:val="Normal"/>
    <w:rsid w:val="00CD2B16"/>
    <w:pPr>
      <w:numPr>
        <w:numId w:val="6"/>
      </w:numPr>
      <w:contextualSpacing/>
    </w:pPr>
  </w:style>
  <w:style w:type="paragraph" w:customStyle="1" w:styleId="AppendixYellow">
    <w:name w:val="Appendix Yellow"/>
    <w:basedOn w:val="Normal"/>
    <w:link w:val="AppendixYellowChar"/>
    <w:autoRedefine/>
    <w:qFormat/>
    <w:rsid w:val="00F17B5B"/>
    <w:rPr>
      <w:b/>
    </w:rPr>
  </w:style>
  <w:style w:type="character" w:customStyle="1" w:styleId="AppendixYellowChar">
    <w:name w:val="Appendix Yellow Char"/>
    <w:basedOn w:val="DefaultParagraphFont"/>
    <w:link w:val="AppendixYellow"/>
    <w:rsid w:val="00F17B5B"/>
    <w:rPr>
      <w:rFonts w:ascii="Arial" w:hAnsi="Arial"/>
      <w:b/>
      <w:bCs/>
      <w:sz w:val="24"/>
      <w:lang w:eastAsia="en-US"/>
    </w:rPr>
  </w:style>
  <w:style w:type="paragraph" w:customStyle="1" w:styleId="AppendixAmber">
    <w:name w:val="Appendix Amber"/>
    <w:basedOn w:val="Normal"/>
    <w:link w:val="AppendixAmberChar"/>
    <w:autoRedefine/>
    <w:rsid w:val="0056407E"/>
    <w:pPr>
      <w:keepNext/>
      <w:shd w:val="clear" w:color="auto" w:fill="FFC000"/>
      <w:outlineLvl w:val="0"/>
    </w:pPr>
    <w:rPr>
      <w:b/>
      <w:color w:val="FFFFFF" w:themeColor="background1"/>
    </w:rPr>
  </w:style>
  <w:style w:type="character" w:customStyle="1" w:styleId="AppendixAmberChar">
    <w:name w:val="Appendix Amber Char"/>
    <w:basedOn w:val="DefaultParagraphFont"/>
    <w:link w:val="AppendixAmber"/>
    <w:rsid w:val="0056407E"/>
    <w:rPr>
      <w:rFonts w:ascii="Arial" w:hAnsi="Arial"/>
      <w:b/>
      <w:bCs/>
      <w:color w:val="FFFFFF" w:themeColor="background1"/>
      <w:sz w:val="24"/>
      <w:shd w:val="clear" w:color="auto" w:fill="FFC000"/>
      <w:lang w:eastAsia="en-US"/>
    </w:rPr>
  </w:style>
  <w:style w:type="character" w:styleId="CommentReference">
    <w:name w:val="annotation reference"/>
    <w:basedOn w:val="DefaultParagraphFont"/>
    <w:rsid w:val="00936FF3"/>
    <w:rPr>
      <w:sz w:val="16"/>
      <w:szCs w:val="16"/>
    </w:rPr>
  </w:style>
  <w:style w:type="paragraph" w:styleId="CommentText">
    <w:name w:val="annotation text"/>
    <w:basedOn w:val="Normal"/>
    <w:link w:val="CommentTextChar"/>
    <w:rsid w:val="00936FF3"/>
    <w:rPr>
      <w:sz w:val="20"/>
    </w:rPr>
  </w:style>
  <w:style w:type="character" w:customStyle="1" w:styleId="CommentTextChar">
    <w:name w:val="Comment Text Char"/>
    <w:basedOn w:val="DefaultParagraphFont"/>
    <w:link w:val="CommentText"/>
    <w:rsid w:val="00936FF3"/>
    <w:rPr>
      <w:rFonts w:ascii="Arial" w:hAnsi="Arial"/>
      <w:bCs/>
      <w:lang w:eastAsia="en-US"/>
    </w:rPr>
  </w:style>
  <w:style w:type="paragraph" w:styleId="CommentSubject">
    <w:name w:val="annotation subject"/>
    <w:basedOn w:val="CommentText"/>
    <w:next w:val="CommentText"/>
    <w:link w:val="CommentSubjectChar"/>
    <w:rsid w:val="00936FF3"/>
    <w:rPr>
      <w:b/>
    </w:rPr>
  </w:style>
  <w:style w:type="character" w:customStyle="1" w:styleId="CommentSubjectChar">
    <w:name w:val="Comment Subject Char"/>
    <w:basedOn w:val="CommentTextChar"/>
    <w:link w:val="CommentSubject"/>
    <w:rsid w:val="00936FF3"/>
    <w:rPr>
      <w:rFonts w:ascii="Arial" w:hAnsi="Arial"/>
      <w:b/>
      <w:bCs/>
      <w:lang w:eastAsia="en-US"/>
    </w:rPr>
  </w:style>
  <w:style w:type="paragraph" w:styleId="TOC5">
    <w:name w:val="toc 5"/>
    <w:basedOn w:val="Normal"/>
    <w:next w:val="Normal"/>
    <w:autoRedefine/>
    <w:uiPriority w:val="39"/>
    <w:rsid w:val="00F84981"/>
    <w:pPr>
      <w:spacing w:after="100"/>
      <w:ind w:left="960"/>
    </w:pPr>
  </w:style>
  <w:style w:type="paragraph" w:styleId="NormalWeb">
    <w:name w:val="Normal (Web)"/>
    <w:basedOn w:val="Normal"/>
    <w:uiPriority w:val="99"/>
    <w:unhideWhenUsed/>
    <w:rsid w:val="008111F5"/>
    <w:pPr>
      <w:spacing w:before="100" w:beforeAutospacing="1" w:after="100" w:afterAutospacing="1"/>
    </w:pPr>
    <w:rPr>
      <w:rFonts w:ascii="Times New Roman" w:hAnsi="Times New Roman"/>
      <w:bCs w:val="0"/>
      <w:szCs w:val="24"/>
      <w:lang w:eastAsia="en-GB"/>
    </w:rPr>
  </w:style>
  <w:style w:type="character" w:styleId="PlaceholderText">
    <w:name w:val="Placeholder Text"/>
    <w:basedOn w:val="DefaultParagraphFont"/>
    <w:uiPriority w:val="99"/>
    <w:semiHidden/>
    <w:rsid w:val="00C7233A"/>
    <w:rPr>
      <w:color w:val="808080"/>
    </w:rPr>
  </w:style>
  <w:style w:type="character" w:customStyle="1" w:styleId="Style1">
    <w:name w:val="Style1"/>
    <w:basedOn w:val="DefaultParagraphFont"/>
    <w:uiPriority w:val="1"/>
    <w:rsid w:val="00287D30"/>
    <w:rPr>
      <w:rFonts w:ascii="Arial" w:hAnsi="Arial"/>
      <w:b w:val="0"/>
      <w:sz w:val="18"/>
    </w:rPr>
  </w:style>
  <w:style w:type="character" w:customStyle="1" w:styleId="Style2">
    <w:name w:val="Style2"/>
    <w:basedOn w:val="DefaultParagraphFont"/>
    <w:uiPriority w:val="1"/>
    <w:rsid w:val="00287D30"/>
    <w:rPr>
      <w:rFonts w:ascii="Arial" w:hAnsi="Arial"/>
      <w:b w:val="0"/>
      <w:sz w:val="16"/>
    </w:rPr>
  </w:style>
  <w:style w:type="character" w:customStyle="1" w:styleId="Style3">
    <w:name w:val="Style3"/>
    <w:basedOn w:val="DefaultParagraphFont"/>
    <w:uiPriority w:val="1"/>
    <w:rsid w:val="007A12A8"/>
    <w:rPr>
      <w:rFonts w:ascii="Arial" w:hAnsi="Arial"/>
      <w:b w:val="0"/>
      <w:sz w:val="24"/>
    </w:rPr>
  </w:style>
  <w:style w:type="character" w:customStyle="1" w:styleId="Style4">
    <w:name w:val="Style4"/>
    <w:basedOn w:val="DefaultParagraphFont"/>
    <w:uiPriority w:val="1"/>
    <w:rsid w:val="007A12A8"/>
    <w:rPr>
      <w:rFonts w:ascii="Arial" w:hAnsi="Arial"/>
      <w:b w:val="0"/>
      <w:sz w:val="24"/>
    </w:rPr>
  </w:style>
  <w:style w:type="character" w:styleId="UnresolvedMention">
    <w:name w:val="Unresolved Mention"/>
    <w:basedOn w:val="DefaultParagraphFont"/>
    <w:uiPriority w:val="99"/>
    <w:semiHidden/>
    <w:unhideWhenUsed/>
    <w:rsid w:val="002E006F"/>
    <w:rPr>
      <w:color w:val="605E5C"/>
      <w:shd w:val="clear" w:color="auto" w:fill="E1DFDD"/>
    </w:rPr>
  </w:style>
  <w:style w:type="paragraph" w:styleId="Bibliography">
    <w:name w:val="Bibliography"/>
    <w:basedOn w:val="Normal"/>
    <w:next w:val="Normal"/>
    <w:uiPriority w:val="37"/>
    <w:unhideWhenUsed/>
    <w:rsid w:val="00914E09"/>
    <w:pPr>
      <w:spacing w:after="120"/>
    </w:pPr>
  </w:style>
  <w:style w:type="paragraph" w:styleId="Revision">
    <w:name w:val="Revision"/>
    <w:hidden/>
    <w:uiPriority w:val="99"/>
    <w:semiHidden/>
    <w:rsid w:val="006E777B"/>
    <w:rPr>
      <w:rFonts w:ascii="Arial" w:hAnsi="Arial"/>
      <w:bCs/>
      <w:sz w:val="24"/>
      <w:lang w:eastAsia="en-US"/>
    </w:rPr>
  </w:style>
  <w:style w:type="paragraph" w:customStyle="1" w:styleId="Default">
    <w:name w:val="Default"/>
    <w:rsid w:val="006B38F8"/>
    <w:pPr>
      <w:autoSpaceDE w:val="0"/>
      <w:autoSpaceDN w:val="0"/>
      <w:adjustRightInd w:val="0"/>
    </w:pPr>
    <w:rPr>
      <w:rFonts w:ascii="Calibri" w:hAnsi="Calibri" w:cs="Calibri"/>
      <w:color w:val="000000"/>
      <w:sz w:val="24"/>
      <w:szCs w:val="24"/>
    </w:rPr>
  </w:style>
  <w:style w:type="table" w:styleId="PlainTable4">
    <w:name w:val="Plain Table 4"/>
    <w:basedOn w:val="TableNormal"/>
    <w:uiPriority w:val="44"/>
    <w:rsid w:val="003F3A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7089">
      <w:bodyDiv w:val="1"/>
      <w:marLeft w:val="0"/>
      <w:marRight w:val="0"/>
      <w:marTop w:val="0"/>
      <w:marBottom w:val="0"/>
      <w:divBdr>
        <w:top w:val="none" w:sz="0" w:space="0" w:color="auto"/>
        <w:left w:val="none" w:sz="0" w:space="0" w:color="auto"/>
        <w:bottom w:val="none" w:sz="0" w:space="0" w:color="auto"/>
        <w:right w:val="none" w:sz="0" w:space="0" w:color="auto"/>
      </w:divBdr>
    </w:div>
    <w:div w:id="23871337">
      <w:bodyDiv w:val="1"/>
      <w:marLeft w:val="0"/>
      <w:marRight w:val="0"/>
      <w:marTop w:val="0"/>
      <w:marBottom w:val="0"/>
      <w:divBdr>
        <w:top w:val="none" w:sz="0" w:space="0" w:color="auto"/>
        <w:left w:val="none" w:sz="0" w:space="0" w:color="auto"/>
        <w:bottom w:val="none" w:sz="0" w:space="0" w:color="auto"/>
        <w:right w:val="none" w:sz="0" w:space="0" w:color="auto"/>
      </w:divBdr>
    </w:div>
    <w:div w:id="64381185">
      <w:bodyDiv w:val="1"/>
      <w:marLeft w:val="0"/>
      <w:marRight w:val="0"/>
      <w:marTop w:val="0"/>
      <w:marBottom w:val="0"/>
      <w:divBdr>
        <w:top w:val="none" w:sz="0" w:space="0" w:color="auto"/>
        <w:left w:val="none" w:sz="0" w:space="0" w:color="auto"/>
        <w:bottom w:val="none" w:sz="0" w:space="0" w:color="auto"/>
        <w:right w:val="none" w:sz="0" w:space="0" w:color="auto"/>
      </w:divBdr>
    </w:div>
    <w:div w:id="67658468">
      <w:bodyDiv w:val="1"/>
      <w:marLeft w:val="0"/>
      <w:marRight w:val="0"/>
      <w:marTop w:val="0"/>
      <w:marBottom w:val="0"/>
      <w:divBdr>
        <w:top w:val="none" w:sz="0" w:space="0" w:color="auto"/>
        <w:left w:val="none" w:sz="0" w:space="0" w:color="auto"/>
        <w:bottom w:val="none" w:sz="0" w:space="0" w:color="auto"/>
        <w:right w:val="none" w:sz="0" w:space="0" w:color="auto"/>
      </w:divBdr>
    </w:div>
    <w:div w:id="71203522">
      <w:bodyDiv w:val="1"/>
      <w:marLeft w:val="0"/>
      <w:marRight w:val="0"/>
      <w:marTop w:val="0"/>
      <w:marBottom w:val="0"/>
      <w:divBdr>
        <w:top w:val="none" w:sz="0" w:space="0" w:color="auto"/>
        <w:left w:val="none" w:sz="0" w:space="0" w:color="auto"/>
        <w:bottom w:val="none" w:sz="0" w:space="0" w:color="auto"/>
        <w:right w:val="none" w:sz="0" w:space="0" w:color="auto"/>
      </w:divBdr>
    </w:div>
    <w:div w:id="87850502">
      <w:bodyDiv w:val="1"/>
      <w:marLeft w:val="0"/>
      <w:marRight w:val="0"/>
      <w:marTop w:val="0"/>
      <w:marBottom w:val="0"/>
      <w:divBdr>
        <w:top w:val="none" w:sz="0" w:space="0" w:color="auto"/>
        <w:left w:val="none" w:sz="0" w:space="0" w:color="auto"/>
        <w:bottom w:val="none" w:sz="0" w:space="0" w:color="auto"/>
        <w:right w:val="none" w:sz="0" w:space="0" w:color="auto"/>
      </w:divBdr>
    </w:div>
    <w:div w:id="103966812">
      <w:bodyDiv w:val="1"/>
      <w:marLeft w:val="0"/>
      <w:marRight w:val="0"/>
      <w:marTop w:val="0"/>
      <w:marBottom w:val="0"/>
      <w:divBdr>
        <w:top w:val="none" w:sz="0" w:space="0" w:color="auto"/>
        <w:left w:val="none" w:sz="0" w:space="0" w:color="auto"/>
        <w:bottom w:val="none" w:sz="0" w:space="0" w:color="auto"/>
        <w:right w:val="none" w:sz="0" w:space="0" w:color="auto"/>
      </w:divBdr>
    </w:div>
    <w:div w:id="155731671">
      <w:bodyDiv w:val="1"/>
      <w:marLeft w:val="0"/>
      <w:marRight w:val="0"/>
      <w:marTop w:val="0"/>
      <w:marBottom w:val="0"/>
      <w:divBdr>
        <w:top w:val="none" w:sz="0" w:space="0" w:color="auto"/>
        <w:left w:val="none" w:sz="0" w:space="0" w:color="auto"/>
        <w:bottom w:val="none" w:sz="0" w:space="0" w:color="auto"/>
        <w:right w:val="none" w:sz="0" w:space="0" w:color="auto"/>
      </w:divBdr>
    </w:div>
    <w:div w:id="168297397">
      <w:bodyDiv w:val="1"/>
      <w:marLeft w:val="0"/>
      <w:marRight w:val="0"/>
      <w:marTop w:val="0"/>
      <w:marBottom w:val="0"/>
      <w:divBdr>
        <w:top w:val="none" w:sz="0" w:space="0" w:color="auto"/>
        <w:left w:val="none" w:sz="0" w:space="0" w:color="auto"/>
        <w:bottom w:val="none" w:sz="0" w:space="0" w:color="auto"/>
        <w:right w:val="none" w:sz="0" w:space="0" w:color="auto"/>
      </w:divBdr>
    </w:div>
    <w:div w:id="178737700">
      <w:bodyDiv w:val="1"/>
      <w:marLeft w:val="0"/>
      <w:marRight w:val="0"/>
      <w:marTop w:val="0"/>
      <w:marBottom w:val="0"/>
      <w:divBdr>
        <w:top w:val="none" w:sz="0" w:space="0" w:color="auto"/>
        <w:left w:val="none" w:sz="0" w:space="0" w:color="auto"/>
        <w:bottom w:val="none" w:sz="0" w:space="0" w:color="auto"/>
        <w:right w:val="none" w:sz="0" w:space="0" w:color="auto"/>
      </w:divBdr>
    </w:div>
    <w:div w:id="203563925">
      <w:bodyDiv w:val="1"/>
      <w:marLeft w:val="0"/>
      <w:marRight w:val="0"/>
      <w:marTop w:val="0"/>
      <w:marBottom w:val="0"/>
      <w:divBdr>
        <w:top w:val="none" w:sz="0" w:space="0" w:color="auto"/>
        <w:left w:val="none" w:sz="0" w:space="0" w:color="auto"/>
        <w:bottom w:val="none" w:sz="0" w:space="0" w:color="auto"/>
        <w:right w:val="none" w:sz="0" w:space="0" w:color="auto"/>
      </w:divBdr>
    </w:div>
    <w:div w:id="216165092">
      <w:bodyDiv w:val="1"/>
      <w:marLeft w:val="0"/>
      <w:marRight w:val="0"/>
      <w:marTop w:val="0"/>
      <w:marBottom w:val="0"/>
      <w:divBdr>
        <w:top w:val="none" w:sz="0" w:space="0" w:color="auto"/>
        <w:left w:val="none" w:sz="0" w:space="0" w:color="auto"/>
        <w:bottom w:val="none" w:sz="0" w:space="0" w:color="auto"/>
        <w:right w:val="none" w:sz="0" w:space="0" w:color="auto"/>
      </w:divBdr>
    </w:div>
    <w:div w:id="241180594">
      <w:bodyDiv w:val="1"/>
      <w:marLeft w:val="0"/>
      <w:marRight w:val="0"/>
      <w:marTop w:val="0"/>
      <w:marBottom w:val="0"/>
      <w:divBdr>
        <w:top w:val="none" w:sz="0" w:space="0" w:color="auto"/>
        <w:left w:val="none" w:sz="0" w:space="0" w:color="auto"/>
        <w:bottom w:val="none" w:sz="0" w:space="0" w:color="auto"/>
        <w:right w:val="none" w:sz="0" w:space="0" w:color="auto"/>
      </w:divBdr>
    </w:div>
    <w:div w:id="260914641">
      <w:bodyDiv w:val="1"/>
      <w:marLeft w:val="0"/>
      <w:marRight w:val="0"/>
      <w:marTop w:val="0"/>
      <w:marBottom w:val="0"/>
      <w:divBdr>
        <w:top w:val="none" w:sz="0" w:space="0" w:color="auto"/>
        <w:left w:val="none" w:sz="0" w:space="0" w:color="auto"/>
        <w:bottom w:val="none" w:sz="0" w:space="0" w:color="auto"/>
        <w:right w:val="none" w:sz="0" w:space="0" w:color="auto"/>
      </w:divBdr>
    </w:div>
    <w:div w:id="263223801">
      <w:bodyDiv w:val="1"/>
      <w:marLeft w:val="0"/>
      <w:marRight w:val="0"/>
      <w:marTop w:val="0"/>
      <w:marBottom w:val="0"/>
      <w:divBdr>
        <w:top w:val="none" w:sz="0" w:space="0" w:color="auto"/>
        <w:left w:val="none" w:sz="0" w:space="0" w:color="auto"/>
        <w:bottom w:val="none" w:sz="0" w:space="0" w:color="auto"/>
        <w:right w:val="none" w:sz="0" w:space="0" w:color="auto"/>
      </w:divBdr>
    </w:div>
    <w:div w:id="396437781">
      <w:bodyDiv w:val="1"/>
      <w:marLeft w:val="0"/>
      <w:marRight w:val="0"/>
      <w:marTop w:val="0"/>
      <w:marBottom w:val="0"/>
      <w:divBdr>
        <w:top w:val="none" w:sz="0" w:space="0" w:color="auto"/>
        <w:left w:val="none" w:sz="0" w:space="0" w:color="auto"/>
        <w:bottom w:val="none" w:sz="0" w:space="0" w:color="auto"/>
        <w:right w:val="none" w:sz="0" w:space="0" w:color="auto"/>
      </w:divBdr>
    </w:div>
    <w:div w:id="410197985">
      <w:bodyDiv w:val="1"/>
      <w:marLeft w:val="0"/>
      <w:marRight w:val="0"/>
      <w:marTop w:val="0"/>
      <w:marBottom w:val="0"/>
      <w:divBdr>
        <w:top w:val="none" w:sz="0" w:space="0" w:color="auto"/>
        <w:left w:val="none" w:sz="0" w:space="0" w:color="auto"/>
        <w:bottom w:val="none" w:sz="0" w:space="0" w:color="auto"/>
        <w:right w:val="none" w:sz="0" w:space="0" w:color="auto"/>
      </w:divBdr>
    </w:div>
    <w:div w:id="429130515">
      <w:bodyDiv w:val="1"/>
      <w:marLeft w:val="0"/>
      <w:marRight w:val="0"/>
      <w:marTop w:val="0"/>
      <w:marBottom w:val="0"/>
      <w:divBdr>
        <w:top w:val="none" w:sz="0" w:space="0" w:color="auto"/>
        <w:left w:val="none" w:sz="0" w:space="0" w:color="auto"/>
        <w:bottom w:val="none" w:sz="0" w:space="0" w:color="auto"/>
        <w:right w:val="none" w:sz="0" w:space="0" w:color="auto"/>
      </w:divBdr>
    </w:div>
    <w:div w:id="446699401">
      <w:bodyDiv w:val="1"/>
      <w:marLeft w:val="0"/>
      <w:marRight w:val="0"/>
      <w:marTop w:val="0"/>
      <w:marBottom w:val="0"/>
      <w:divBdr>
        <w:top w:val="none" w:sz="0" w:space="0" w:color="auto"/>
        <w:left w:val="none" w:sz="0" w:space="0" w:color="auto"/>
        <w:bottom w:val="none" w:sz="0" w:space="0" w:color="auto"/>
        <w:right w:val="none" w:sz="0" w:space="0" w:color="auto"/>
      </w:divBdr>
    </w:div>
    <w:div w:id="456609859">
      <w:bodyDiv w:val="1"/>
      <w:marLeft w:val="0"/>
      <w:marRight w:val="0"/>
      <w:marTop w:val="0"/>
      <w:marBottom w:val="0"/>
      <w:divBdr>
        <w:top w:val="none" w:sz="0" w:space="0" w:color="auto"/>
        <w:left w:val="none" w:sz="0" w:space="0" w:color="auto"/>
        <w:bottom w:val="none" w:sz="0" w:space="0" w:color="auto"/>
        <w:right w:val="none" w:sz="0" w:space="0" w:color="auto"/>
      </w:divBdr>
    </w:div>
    <w:div w:id="467939111">
      <w:bodyDiv w:val="1"/>
      <w:marLeft w:val="0"/>
      <w:marRight w:val="0"/>
      <w:marTop w:val="0"/>
      <w:marBottom w:val="0"/>
      <w:divBdr>
        <w:top w:val="none" w:sz="0" w:space="0" w:color="auto"/>
        <w:left w:val="none" w:sz="0" w:space="0" w:color="auto"/>
        <w:bottom w:val="none" w:sz="0" w:space="0" w:color="auto"/>
        <w:right w:val="none" w:sz="0" w:space="0" w:color="auto"/>
      </w:divBdr>
    </w:div>
    <w:div w:id="470093955">
      <w:bodyDiv w:val="1"/>
      <w:marLeft w:val="0"/>
      <w:marRight w:val="0"/>
      <w:marTop w:val="0"/>
      <w:marBottom w:val="0"/>
      <w:divBdr>
        <w:top w:val="none" w:sz="0" w:space="0" w:color="auto"/>
        <w:left w:val="none" w:sz="0" w:space="0" w:color="auto"/>
        <w:bottom w:val="none" w:sz="0" w:space="0" w:color="auto"/>
        <w:right w:val="none" w:sz="0" w:space="0" w:color="auto"/>
      </w:divBdr>
    </w:div>
    <w:div w:id="488833056">
      <w:bodyDiv w:val="1"/>
      <w:marLeft w:val="0"/>
      <w:marRight w:val="0"/>
      <w:marTop w:val="0"/>
      <w:marBottom w:val="0"/>
      <w:divBdr>
        <w:top w:val="none" w:sz="0" w:space="0" w:color="auto"/>
        <w:left w:val="none" w:sz="0" w:space="0" w:color="auto"/>
        <w:bottom w:val="none" w:sz="0" w:space="0" w:color="auto"/>
        <w:right w:val="none" w:sz="0" w:space="0" w:color="auto"/>
      </w:divBdr>
    </w:div>
    <w:div w:id="493768052">
      <w:bodyDiv w:val="1"/>
      <w:marLeft w:val="0"/>
      <w:marRight w:val="0"/>
      <w:marTop w:val="0"/>
      <w:marBottom w:val="0"/>
      <w:divBdr>
        <w:top w:val="none" w:sz="0" w:space="0" w:color="auto"/>
        <w:left w:val="none" w:sz="0" w:space="0" w:color="auto"/>
        <w:bottom w:val="none" w:sz="0" w:space="0" w:color="auto"/>
        <w:right w:val="none" w:sz="0" w:space="0" w:color="auto"/>
      </w:divBdr>
    </w:div>
    <w:div w:id="507981899">
      <w:bodyDiv w:val="1"/>
      <w:marLeft w:val="0"/>
      <w:marRight w:val="0"/>
      <w:marTop w:val="0"/>
      <w:marBottom w:val="0"/>
      <w:divBdr>
        <w:top w:val="none" w:sz="0" w:space="0" w:color="auto"/>
        <w:left w:val="none" w:sz="0" w:space="0" w:color="auto"/>
        <w:bottom w:val="none" w:sz="0" w:space="0" w:color="auto"/>
        <w:right w:val="none" w:sz="0" w:space="0" w:color="auto"/>
      </w:divBdr>
    </w:div>
    <w:div w:id="524952465">
      <w:bodyDiv w:val="1"/>
      <w:marLeft w:val="0"/>
      <w:marRight w:val="0"/>
      <w:marTop w:val="0"/>
      <w:marBottom w:val="0"/>
      <w:divBdr>
        <w:top w:val="none" w:sz="0" w:space="0" w:color="auto"/>
        <w:left w:val="none" w:sz="0" w:space="0" w:color="auto"/>
        <w:bottom w:val="none" w:sz="0" w:space="0" w:color="auto"/>
        <w:right w:val="none" w:sz="0" w:space="0" w:color="auto"/>
      </w:divBdr>
    </w:div>
    <w:div w:id="544608679">
      <w:bodyDiv w:val="1"/>
      <w:marLeft w:val="0"/>
      <w:marRight w:val="0"/>
      <w:marTop w:val="0"/>
      <w:marBottom w:val="0"/>
      <w:divBdr>
        <w:top w:val="none" w:sz="0" w:space="0" w:color="auto"/>
        <w:left w:val="none" w:sz="0" w:space="0" w:color="auto"/>
        <w:bottom w:val="none" w:sz="0" w:space="0" w:color="auto"/>
        <w:right w:val="none" w:sz="0" w:space="0" w:color="auto"/>
      </w:divBdr>
    </w:div>
    <w:div w:id="548566489">
      <w:bodyDiv w:val="1"/>
      <w:marLeft w:val="0"/>
      <w:marRight w:val="0"/>
      <w:marTop w:val="0"/>
      <w:marBottom w:val="0"/>
      <w:divBdr>
        <w:top w:val="none" w:sz="0" w:space="0" w:color="auto"/>
        <w:left w:val="none" w:sz="0" w:space="0" w:color="auto"/>
        <w:bottom w:val="none" w:sz="0" w:space="0" w:color="auto"/>
        <w:right w:val="none" w:sz="0" w:space="0" w:color="auto"/>
      </w:divBdr>
    </w:div>
    <w:div w:id="584338341">
      <w:bodyDiv w:val="1"/>
      <w:marLeft w:val="0"/>
      <w:marRight w:val="0"/>
      <w:marTop w:val="0"/>
      <w:marBottom w:val="0"/>
      <w:divBdr>
        <w:top w:val="none" w:sz="0" w:space="0" w:color="auto"/>
        <w:left w:val="none" w:sz="0" w:space="0" w:color="auto"/>
        <w:bottom w:val="none" w:sz="0" w:space="0" w:color="auto"/>
        <w:right w:val="none" w:sz="0" w:space="0" w:color="auto"/>
      </w:divBdr>
    </w:div>
    <w:div w:id="591207353">
      <w:bodyDiv w:val="1"/>
      <w:marLeft w:val="0"/>
      <w:marRight w:val="0"/>
      <w:marTop w:val="0"/>
      <w:marBottom w:val="0"/>
      <w:divBdr>
        <w:top w:val="none" w:sz="0" w:space="0" w:color="auto"/>
        <w:left w:val="none" w:sz="0" w:space="0" w:color="auto"/>
        <w:bottom w:val="none" w:sz="0" w:space="0" w:color="auto"/>
        <w:right w:val="none" w:sz="0" w:space="0" w:color="auto"/>
      </w:divBdr>
    </w:div>
    <w:div w:id="595331246">
      <w:bodyDiv w:val="1"/>
      <w:marLeft w:val="0"/>
      <w:marRight w:val="0"/>
      <w:marTop w:val="0"/>
      <w:marBottom w:val="0"/>
      <w:divBdr>
        <w:top w:val="none" w:sz="0" w:space="0" w:color="auto"/>
        <w:left w:val="none" w:sz="0" w:space="0" w:color="auto"/>
        <w:bottom w:val="none" w:sz="0" w:space="0" w:color="auto"/>
        <w:right w:val="none" w:sz="0" w:space="0" w:color="auto"/>
      </w:divBdr>
    </w:div>
    <w:div w:id="595796669">
      <w:bodyDiv w:val="1"/>
      <w:marLeft w:val="0"/>
      <w:marRight w:val="0"/>
      <w:marTop w:val="0"/>
      <w:marBottom w:val="0"/>
      <w:divBdr>
        <w:top w:val="none" w:sz="0" w:space="0" w:color="auto"/>
        <w:left w:val="none" w:sz="0" w:space="0" w:color="auto"/>
        <w:bottom w:val="none" w:sz="0" w:space="0" w:color="auto"/>
        <w:right w:val="none" w:sz="0" w:space="0" w:color="auto"/>
      </w:divBdr>
    </w:div>
    <w:div w:id="653410019">
      <w:bodyDiv w:val="1"/>
      <w:marLeft w:val="0"/>
      <w:marRight w:val="0"/>
      <w:marTop w:val="0"/>
      <w:marBottom w:val="0"/>
      <w:divBdr>
        <w:top w:val="none" w:sz="0" w:space="0" w:color="auto"/>
        <w:left w:val="none" w:sz="0" w:space="0" w:color="auto"/>
        <w:bottom w:val="none" w:sz="0" w:space="0" w:color="auto"/>
        <w:right w:val="none" w:sz="0" w:space="0" w:color="auto"/>
      </w:divBdr>
    </w:div>
    <w:div w:id="680814540">
      <w:bodyDiv w:val="1"/>
      <w:marLeft w:val="0"/>
      <w:marRight w:val="0"/>
      <w:marTop w:val="0"/>
      <w:marBottom w:val="0"/>
      <w:divBdr>
        <w:top w:val="none" w:sz="0" w:space="0" w:color="auto"/>
        <w:left w:val="none" w:sz="0" w:space="0" w:color="auto"/>
        <w:bottom w:val="none" w:sz="0" w:space="0" w:color="auto"/>
        <w:right w:val="none" w:sz="0" w:space="0" w:color="auto"/>
      </w:divBdr>
    </w:div>
    <w:div w:id="693383891">
      <w:bodyDiv w:val="1"/>
      <w:marLeft w:val="0"/>
      <w:marRight w:val="0"/>
      <w:marTop w:val="0"/>
      <w:marBottom w:val="0"/>
      <w:divBdr>
        <w:top w:val="none" w:sz="0" w:space="0" w:color="auto"/>
        <w:left w:val="none" w:sz="0" w:space="0" w:color="auto"/>
        <w:bottom w:val="none" w:sz="0" w:space="0" w:color="auto"/>
        <w:right w:val="none" w:sz="0" w:space="0" w:color="auto"/>
      </w:divBdr>
    </w:div>
    <w:div w:id="714812749">
      <w:bodyDiv w:val="1"/>
      <w:marLeft w:val="0"/>
      <w:marRight w:val="0"/>
      <w:marTop w:val="0"/>
      <w:marBottom w:val="0"/>
      <w:divBdr>
        <w:top w:val="none" w:sz="0" w:space="0" w:color="auto"/>
        <w:left w:val="none" w:sz="0" w:space="0" w:color="auto"/>
        <w:bottom w:val="none" w:sz="0" w:space="0" w:color="auto"/>
        <w:right w:val="none" w:sz="0" w:space="0" w:color="auto"/>
      </w:divBdr>
    </w:div>
    <w:div w:id="765275881">
      <w:bodyDiv w:val="1"/>
      <w:marLeft w:val="0"/>
      <w:marRight w:val="0"/>
      <w:marTop w:val="0"/>
      <w:marBottom w:val="0"/>
      <w:divBdr>
        <w:top w:val="none" w:sz="0" w:space="0" w:color="auto"/>
        <w:left w:val="none" w:sz="0" w:space="0" w:color="auto"/>
        <w:bottom w:val="none" w:sz="0" w:space="0" w:color="auto"/>
        <w:right w:val="none" w:sz="0" w:space="0" w:color="auto"/>
      </w:divBdr>
    </w:div>
    <w:div w:id="772436172">
      <w:bodyDiv w:val="1"/>
      <w:marLeft w:val="0"/>
      <w:marRight w:val="0"/>
      <w:marTop w:val="0"/>
      <w:marBottom w:val="0"/>
      <w:divBdr>
        <w:top w:val="none" w:sz="0" w:space="0" w:color="auto"/>
        <w:left w:val="none" w:sz="0" w:space="0" w:color="auto"/>
        <w:bottom w:val="none" w:sz="0" w:space="0" w:color="auto"/>
        <w:right w:val="none" w:sz="0" w:space="0" w:color="auto"/>
      </w:divBdr>
    </w:div>
    <w:div w:id="819808636">
      <w:bodyDiv w:val="1"/>
      <w:marLeft w:val="0"/>
      <w:marRight w:val="0"/>
      <w:marTop w:val="0"/>
      <w:marBottom w:val="0"/>
      <w:divBdr>
        <w:top w:val="none" w:sz="0" w:space="0" w:color="auto"/>
        <w:left w:val="none" w:sz="0" w:space="0" w:color="auto"/>
        <w:bottom w:val="none" w:sz="0" w:space="0" w:color="auto"/>
        <w:right w:val="none" w:sz="0" w:space="0" w:color="auto"/>
      </w:divBdr>
    </w:div>
    <w:div w:id="826361078">
      <w:bodyDiv w:val="1"/>
      <w:marLeft w:val="0"/>
      <w:marRight w:val="0"/>
      <w:marTop w:val="0"/>
      <w:marBottom w:val="0"/>
      <w:divBdr>
        <w:top w:val="none" w:sz="0" w:space="0" w:color="auto"/>
        <w:left w:val="none" w:sz="0" w:space="0" w:color="auto"/>
        <w:bottom w:val="none" w:sz="0" w:space="0" w:color="auto"/>
        <w:right w:val="none" w:sz="0" w:space="0" w:color="auto"/>
      </w:divBdr>
    </w:div>
    <w:div w:id="836195096">
      <w:bodyDiv w:val="1"/>
      <w:marLeft w:val="0"/>
      <w:marRight w:val="0"/>
      <w:marTop w:val="0"/>
      <w:marBottom w:val="0"/>
      <w:divBdr>
        <w:top w:val="none" w:sz="0" w:space="0" w:color="auto"/>
        <w:left w:val="none" w:sz="0" w:space="0" w:color="auto"/>
        <w:bottom w:val="none" w:sz="0" w:space="0" w:color="auto"/>
        <w:right w:val="none" w:sz="0" w:space="0" w:color="auto"/>
      </w:divBdr>
    </w:div>
    <w:div w:id="848560873">
      <w:bodyDiv w:val="1"/>
      <w:marLeft w:val="0"/>
      <w:marRight w:val="0"/>
      <w:marTop w:val="0"/>
      <w:marBottom w:val="0"/>
      <w:divBdr>
        <w:top w:val="none" w:sz="0" w:space="0" w:color="auto"/>
        <w:left w:val="none" w:sz="0" w:space="0" w:color="auto"/>
        <w:bottom w:val="none" w:sz="0" w:space="0" w:color="auto"/>
        <w:right w:val="none" w:sz="0" w:space="0" w:color="auto"/>
      </w:divBdr>
    </w:div>
    <w:div w:id="858156642">
      <w:bodyDiv w:val="1"/>
      <w:marLeft w:val="0"/>
      <w:marRight w:val="0"/>
      <w:marTop w:val="0"/>
      <w:marBottom w:val="0"/>
      <w:divBdr>
        <w:top w:val="none" w:sz="0" w:space="0" w:color="auto"/>
        <w:left w:val="none" w:sz="0" w:space="0" w:color="auto"/>
        <w:bottom w:val="none" w:sz="0" w:space="0" w:color="auto"/>
        <w:right w:val="none" w:sz="0" w:space="0" w:color="auto"/>
      </w:divBdr>
    </w:div>
    <w:div w:id="882789798">
      <w:bodyDiv w:val="1"/>
      <w:marLeft w:val="0"/>
      <w:marRight w:val="0"/>
      <w:marTop w:val="0"/>
      <w:marBottom w:val="0"/>
      <w:divBdr>
        <w:top w:val="none" w:sz="0" w:space="0" w:color="auto"/>
        <w:left w:val="none" w:sz="0" w:space="0" w:color="auto"/>
        <w:bottom w:val="none" w:sz="0" w:space="0" w:color="auto"/>
        <w:right w:val="none" w:sz="0" w:space="0" w:color="auto"/>
      </w:divBdr>
    </w:div>
    <w:div w:id="888497347">
      <w:bodyDiv w:val="1"/>
      <w:marLeft w:val="0"/>
      <w:marRight w:val="0"/>
      <w:marTop w:val="0"/>
      <w:marBottom w:val="0"/>
      <w:divBdr>
        <w:top w:val="none" w:sz="0" w:space="0" w:color="auto"/>
        <w:left w:val="none" w:sz="0" w:space="0" w:color="auto"/>
        <w:bottom w:val="none" w:sz="0" w:space="0" w:color="auto"/>
        <w:right w:val="none" w:sz="0" w:space="0" w:color="auto"/>
      </w:divBdr>
    </w:div>
    <w:div w:id="943926981">
      <w:bodyDiv w:val="1"/>
      <w:marLeft w:val="0"/>
      <w:marRight w:val="0"/>
      <w:marTop w:val="0"/>
      <w:marBottom w:val="0"/>
      <w:divBdr>
        <w:top w:val="none" w:sz="0" w:space="0" w:color="auto"/>
        <w:left w:val="none" w:sz="0" w:space="0" w:color="auto"/>
        <w:bottom w:val="none" w:sz="0" w:space="0" w:color="auto"/>
        <w:right w:val="none" w:sz="0" w:space="0" w:color="auto"/>
      </w:divBdr>
    </w:div>
    <w:div w:id="984772481">
      <w:bodyDiv w:val="1"/>
      <w:marLeft w:val="0"/>
      <w:marRight w:val="0"/>
      <w:marTop w:val="0"/>
      <w:marBottom w:val="0"/>
      <w:divBdr>
        <w:top w:val="none" w:sz="0" w:space="0" w:color="auto"/>
        <w:left w:val="none" w:sz="0" w:space="0" w:color="auto"/>
        <w:bottom w:val="none" w:sz="0" w:space="0" w:color="auto"/>
        <w:right w:val="none" w:sz="0" w:space="0" w:color="auto"/>
      </w:divBdr>
    </w:div>
    <w:div w:id="993684935">
      <w:bodyDiv w:val="1"/>
      <w:marLeft w:val="0"/>
      <w:marRight w:val="0"/>
      <w:marTop w:val="0"/>
      <w:marBottom w:val="0"/>
      <w:divBdr>
        <w:top w:val="none" w:sz="0" w:space="0" w:color="auto"/>
        <w:left w:val="none" w:sz="0" w:space="0" w:color="auto"/>
        <w:bottom w:val="none" w:sz="0" w:space="0" w:color="auto"/>
        <w:right w:val="none" w:sz="0" w:space="0" w:color="auto"/>
      </w:divBdr>
    </w:div>
    <w:div w:id="1057123140">
      <w:bodyDiv w:val="1"/>
      <w:marLeft w:val="0"/>
      <w:marRight w:val="0"/>
      <w:marTop w:val="0"/>
      <w:marBottom w:val="0"/>
      <w:divBdr>
        <w:top w:val="none" w:sz="0" w:space="0" w:color="auto"/>
        <w:left w:val="none" w:sz="0" w:space="0" w:color="auto"/>
        <w:bottom w:val="none" w:sz="0" w:space="0" w:color="auto"/>
        <w:right w:val="none" w:sz="0" w:space="0" w:color="auto"/>
      </w:divBdr>
    </w:div>
    <w:div w:id="1064108295">
      <w:bodyDiv w:val="1"/>
      <w:marLeft w:val="0"/>
      <w:marRight w:val="0"/>
      <w:marTop w:val="0"/>
      <w:marBottom w:val="0"/>
      <w:divBdr>
        <w:top w:val="none" w:sz="0" w:space="0" w:color="auto"/>
        <w:left w:val="none" w:sz="0" w:space="0" w:color="auto"/>
        <w:bottom w:val="none" w:sz="0" w:space="0" w:color="auto"/>
        <w:right w:val="none" w:sz="0" w:space="0" w:color="auto"/>
      </w:divBdr>
    </w:div>
    <w:div w:id="1096557639">
      <w:bodyDiv w:val="1"/>
      <w:marLeft w:val="0"/>
      <w:marRight w:val="0"/>
      <w:marTop w:val="0"/>
      <w:marBottom w:val="0"/>
      <w:divBdr>
        <w:top w:val="none" w:sz="0" w:space="0" w:color="auto"/>
        <w:left w:val="none" w:sz="0" w:space="0" w:color="auto"/>
        <w:bottom w:val="none" w:sz="0" w:space="0" w:color="auto"/>
        <w:right w:val="none" w:sz="0" w:space="0" w:color="auto"/>
      </w:divBdr>
    </w:div>
    <w:div w:id="1106343025">
      <w:bodyDiv w:val="1"/>
      <w:marLeft w:val="0"/>
      <w:marRight w:val="0"/>
      <w:marTop w:val="0"/>
      <w:marBottom w:val="0"/>
      <w:divBdr>
        <w:top w:val="none" w:sz="0" w:space="0" w:color="auto"/>
        <w:left w:val="none" w:sz="0" w:space="0" w:color="auto"/>
        <w:bottom w:val="none" w:sz="0" w:space="0" w:color="auto"/>
        <w:right w:val="none" w:sz="0" w:space="0" w:color="auto"/>
      </w:divBdr>
    </w:div>
    <w:div w:id="1141652986">
      <w:bodyDiv w:val="1"/>
      <w:marLeft w:val="0"/>
      <w:marRight w:val="0"/>
      <w:marTop w:val="0"/>
      <w:marBottom w:val="0"/>
      <w:divBdr>
        <w:top w:val="none" w:sz="0" w:space="0" w:color="auto"/>
        <w:left w:val="none" w:sz="0" w:space="0" w:color="auto"/>
        <w:bottom w:val="none" w:sz="0" w:space="0" w:color="auto"/>
        <w:right w:val="none" w:sz="0" w:space="0" w:color="auto"/>
      </w:divBdr>
    </w:div>
    <w:div w:id="1155876059">
      <w:bodyDiv w:val="1"/>
      <w:marLeft w:val="0"/>
      <w:marRight w:val="0"/>
      <w:marTop w:val="0"/>
      <w:marBottom w:val="0"/>
      <w:divBdr>
        <w:top w:val="none" w:sz="0" w:space="0" w:color="auto"/>
        <w:left w:val="none" w:sz="0" w:space="0" w:color="auto"/>
        <w:bottom w:val="none" w:sz="0" w:space="0" w:color="auto"/>
        <w:right w:val="none" w:sz="0" w:space="0" w:color="auto"/>
      </w:divBdr>
    </w:div>
    <w:div w:id="1165585083">
      <w:bodyDiv w:val="1"/>
      <w:marLeft w:val="0"/>
      <w:marRight w:val="0"/>
      <w:marTop w:val="0"/>
      <w:marBottom w:val="0"/>
      <w:divBdr>
        <w:top w:val="none" w:sz="0" w:space="0" w:color="auto"/>
        <w:left w:val="none" w:sz="0" w:space="0" w:color="auto"/>
        <w:bottom w:val="none" w:sz="0" w:space="0" w:color="auto"/>
        <w:right w:val="none" w:sz="0" w:space="0" w:color="auto"/>
      </w:divBdr>
    </w:div>
    <w:div w:id="1170292452">
      <w:bodyDiv w:val="1"/>
      <w:marLeft w:val="0"/>
      <w:marRight w:val="0"/>
      <w:marTop w:val="0"/>
      <w:marBottom w:val="0"/>
      <w:divBdr>
        <w:top w:val="none" w:sz="0" w:space="0" w:color="auto"/>
        <w:left w:val="none" w:sz="0" w:space="0" w:color="auto"/>
        <w:bottom w:val="none" w:sz="0" w:space="0" w:color="auto"/>
        <w:right w:val="none" w:sz="0" w:space="0" w:color="auto"/>
      </w:divBdr>
    </w:div>
    <w:div w:id="1183856661">
      <w:bodyDiv w:val="1"/>
      <w:marLeft w:val="0"/>
      <w:marRight w:val="0"/>
      <w:marTop w:val="0"/>
      <w:marBottom w:val="0"/>
      <w:divBdr>
        <w:top w:val="none" w:sz="0" w:space="0" w:color="auto"/>
        <w:left w:val="none" w:sz="0" w:space="0" w:color="auto"/>
        <w:bottom w:val="none" w:sz="0" w:space="0" w:color="auto"/>
        <w:right w:val="none" w:sz="0" w:space="0" w:color="auto"/>
      </w:divBdr>
    </w:div>
    <w:div w:id="1214538501">
      <w:bodyDiv w:val="1"/>
      <w:marLeft w:val="0"/>
      <w:marRight w:val="0"/>
      <w:marTop w:val="0"/>
      <w:marBottom w:val="0"/>
      <w:divBdr>
        <w:top w:val="none" w:sz="0" w:space="0" w:color="auto"/>
        <w:left w:val="none" w:sz="0" w:space="0" w:color="auto"/>
        <w:bottom w:val="none" w:sz="0" w:space="0" w:color="auto"/>
        <w:right w:val="none" w:sz="0" w:space="0" w:color="auto"/>
      </w:divBdr>
    </w:div>
    <w:div w:id="1244029128">
      <w:bodyDiv w:val="1"/>
      <w:marLeft w:val="0"/>
      <w:marRight w:val="0"/>
      <w:marTop w:val="0"/>
      <w:marBottom w:val="0"/>
      <w:divBdr>
        <w:top w:val="none" w:sz="0" w:space="0" w:color="auto"/>
        <w:left w:val="none" w:sz="0" w:space="0" w:color="auto"/>
        <w:bottom w:val="none" w:sz="0" w:space="0" w:color="auto"/>
        <w:right w:val="none" w:sz="0" w:space="0" w:color="auto"/>
      </w:divBdr>
    </w:div>
    <w:div w:id="1245265917">
      <w:bodyDiv w:val="1"/>
      <w:marLeft w:val="0"/>
      <w:marRight w:val="0"/>
      <w:marTop w:val="0"/>
      <w:marBottom w:val="0"/>
      <w:divBdr>
        <w:top w:val="none" w:sz="0" w:space="0" w:color="auto"/>
        <w:left w:val="none" w:sz="0" w:space="0" w:color="auto"/>
        <w:bottom w:val="none" w:sz="0" w:space="0" w:color="auto"/>
        <w:right w:val="none" w:sz="0" w:space="0" w:color="auto"/>
      </w:divBdr>
    </w:div>
    <w:div w:id="1302614844">
      <w:bodyDiv w:val="1"/>
      <w:marLeft w:val="0"/>
      <w:marRight w:val="0"/>
      <w:marTop w:val="0"/>
      <w:marBottom w:val="0"/>
      <w:divBdr>
        <w:top w:val="none" w:sz="0" w:space="0" w:color="auto"/>
        <w:left w:val="none" w:sz="0" w:space="0" w:color="auto"/>
        <w:bottom w:val="none" w:sz="0" w:space="0" w:color="auto"/>
        <w:right w:val="none" w:sz="0" w:space="0" w:color="auto"/>
      </w:divBdr>
    </w:div>
    <w:div w:id="1314456447">
      <w:bodyDiv w:val="1"/>
      <w:marLeft w:val="0"/>
      <w:marRight w:val="0"/>
      <w:marTop w:val="0"/>
      <w:marBottom w:val="0"/>
      <w:divBdr>
        <w:top w:val="none" w:sz="0" w:space="0" w:color="auto"/>
        <w:left w:val="none" w:sz="0" w:space="0" w:color="auto"/>
        <w:bottom w:val="none" w:sz="0" w:space="0" w:color="auto"/>
        <w:right w:val="none" w:sz="0" w:space="0" w:color="auto"/>
      </w:divBdr>
    </w:div>
    <w:div w:id="1316833516">
      <w:bodyDiv w:val="1"/>
      <w:marLeft w:val="0"/>
      <w:marRight w:val="0"/>
      <w:marTop w:val="0"/>
      <w:marBottom w:val="0"/>
      <w:divBdr>
        <w:top w:val="none" w:sz="0" w:space="0" w:color="auto"/>
        <w:left w:val="none" w:sz="0" w:space="0" w:color="auto"/>
        <w:bottom w:val="none" w:sz="0" w:space="0" w:color="auto"/>
        <w:right w:val="none" w:sz="0" w:space="0" w:color="auto"/>
      </w:divBdr>
    </w:div>
    <w:div w:id="1322731888">
      <w:bodyDiv w:val="1"/>
      <w:marLeft w:val="0"/>
      <w:marRight w:val="0"/>
      <w:marTop w:val="0"/>
      <w:marBottom w:val="0"/>
      <w:divBdr>
        <w:top w:val="none" w:sz="0" w:space="0" w:color="auto"/>
        <w:left w:val="none" w:sz="0" w:space="0" w:color="auto"/>
        <w:bottom w:val="none" w:sz="0" w:space="0" w:color="auto"/>
        <w:right w:val="none" w:sz="0" w:space="0" w:color="auto"/>
      </w:divBdr>
    </w:div>
    <w:div w:id="1324773275">
      <w:bodyDiv w:val="1"/>
      <w:marLeft w:val="0"/>
      <w:marRight w:val="0"/>
      <w:marTop w:val="0"/>
      <w:marBottom w:val="0"/>
      <w:divBdr>
        <w:top w:val="none" w:sz="0" w:space="0" w:color="auto"/>
        <w:left w:val="none" w:sz="0" w:space="0" w:color="auto"/>
        <w:bottom w:val="none" w:sz="0" w:space="0" w:color="auto"/>
        <w:right w:val="none" w:sz="0" w:space="0" w:color="auto"/>
      </w:divBdr>
    </w:div>
    <w:div w:id="1324964208">
      <w:bodyDiv w:val="1"/>
      <w:marLeft w:val="0"/>
      <w:marRight w:val="0"/>
      <w:marTop w:val="0"/>
      <w:marBottom w:val="0"/>
      <w:divBdr>
        <w:top w:val="none" w:sz="0" w:space="0" w:color="auto"/>
        <w:left w:val="none" w:sz="0" w:space="0" w:color="auto"/>
        <w:bottom w:val="none" w:sz="0" w:space="0" w:color="auto"/>
        <w:right w:val="none" w:sz="0" w:space="0" w:color="auto"/>
      </w:divBdr>
    </w:div>
    <w:div w:id="1360820255">
      <w:bodyDiv w:val="1"/>
      <w:marLeft w:val="0"/>
      <w:marRight w:val="0"/>
      <w:marTop w:val="0"/>
      <w:marBottom w:val="0"/>
      <w:divBdr>
        <w:top w:val="none" w:sz="0" w:space="0" w:color="auto"/>
        <w:left w:val="none" w:sz="0" w:space="0" w:color="auto"/>
        <w:bottom w:val="none" w:sz="0" w:space="0" w:color="auto"/>
        <w:right w:val="none" w:sz="0" w:space="0" w:color="auto"/>
      </w:divBdr>
    </w:div>
    <w:div w:id="1390878825">
      <w:bodyDiv w:val="1"/>
      <w:marLeft w:val="0"/>
      <w:marRight w:val="0"/>
      <w:marTop w:val="0"/>
      <w:marBottom w:val="0"/>
      <w:divBdr>
        <w:top w:val="none" w:sz="0" w:space="0" w:color="auto"/>
        <w:left w:val="none" w:sz="0" w:space="0" w:color="auto"/>
        <w:bottom w:val="none" w:sz="0" w:space="0" w:color="auto"/>
        <w:right w:val="none" w:sz="0" w:space="0" w:color="auto"/>
      </w:divBdr>
    </w:div>
    <w:div w:id="1456289213">
      <w:bodyDiv w:val="1"/>
      <w:marLeft w:val="0"/>
      <w:marRight w:val="0"/>
      <w:marTop w:val="0"/>
      <w:marBottom w:val="0"/>
      <w:divBdr>
        <w:top w:val="none" w:sz="0" w:space="0" w:color="auto"/>
        <w:left w:val="none" w:sz="0" w:space="0" w:color="auto"/>
        <w:bottom w:val="none" w:sz="0" w:space="0" w:color="auto"/>
        <w:right w:val="none" w:sz="0" w:space="0" w:color="auto"/>
      </w:divBdr>
    </w:div>
    <w:div w:id="1484083202">
      <w:bodyDiv w:val="1"/>
      <w:marLeft w:val="0"/>
      <w:marRight w:val="0"/>
      <w:marTop w:val="0"/>
      <w:marBottom w:val="0"/>
      <w:divBdr>
        <w:top w:val="none" w:sz="0" w:space="0" w:color="auto"/>
        <w:left w:val="none" w:sz="0" w:space="0" w:color="auto"/>
        <w:bottom w:val="none" w:sz="0" w:space="0" w:color="auto"/>
        <w:right w:val="none" w:sz="0" w:space="0" w:color="auto"/>
      </w:divBdr>
    </w:div>
    <w:div w:id="1494183893">
      <w:bodyDiv w:val="1"/>
      <w:marLeft w:val="0"/>
      <w:marRight w:val="0"/>
      <w:marTop w:val="0"/>
      <w:marBottom w:val="0"/>
      <w:divBdr>
        <w:top w:val="none" w:sz="0" w:space="0" w:color="auto"/>
        <w:left w:val="none" w:sz="0" w:space="0" w:color="auto"/>
        <w:bottom w:val="none" w:sz="0" w:space="0" w:color="auto"/>
        <w:right w:val="none" w:sz="0" w:space="0" w:color="auto"/>
      </w:divBdr>
    </w:div>
    <w:div w:id="1561285957">
      <w:bodyDiv w:val="1"/>
      <w:marLeft w:val="0"/>
      <w:marRight w:val="0"/>
      <w:marTop w:val="0"/>
      <w:marBottom w:val="0"/>
      <w:divBdr>
        <w:top w:val="none" w:sz="0" w:space="0" w:color="auto"/>
        <w:left w:val="none" w:sz="0" w:space="0" w:color="auto"/>
        <w:bottom w:val="none" w:sz="0" w:space="0" w:color="auto"/>
        <w:right w:val="none" w:sz="0" w:space="0" w:color="auto"/>
      </w:divBdr>
    </w:div>
    <w:div w:id="1562982538">
      <w:bodyDiv w:val="1"/>
      <w:marLeft w:val="0"/>
      <w:marRight w:val="0"/>
      <w:marTop w:val="0"/>
      <w:marBottom w:val="0"/>
      <w:divBdr>
        <w:top w:val="none" w:sz="0" w:space="0" w:color="auto"/>
        <w:left w:val="none" w:sz="0" w:space="0" w:color="auto"/>
        <w:bottom w:val="none" w:sz="0" w:space="0" w:color="auto"/>
        <w:right w:val="none" w:sz="0" w:space="0" w:color="auto"/>
      </w:divBdr>
    </w:div>
    <w:div w:id="1607038250">
      <w:bodyDiv w:val="1"/>
      <w:marLeft w:val="0"/>
      <w:marRight w:val="0"/>
      <w:marTop w:val="0"/>
      <w:marBottom w:val="0"/>
      <w:divBdr>
        <w:top w:val="none" w:sz="0" w:space="0" w:color="auto"/>
        <w:left w:val="none" w:sz="0" w:space="0" w:color="auto"/>
        <w:bottom w:val="none" w:sz="0" w:space="0" w:color="auto"/>
        <w:right w:val="none" w:sz="0" w:space="0" w:color="auto"/>
      </w:divBdr>
    </w:div>
    <w:div w:id="1622104016">
      <w:bodyDiv w:val="1"/>
      <w:marLeft w:val="0"/>
      <w:marRight w:val="0"/>
      <w:marTop w:val="0"/>
      <w:marBottom w:val="0"/>
      <w:divBdr>
        <w:top w:val="none" w:sz="0" w:space="0" w:color="auto"/>
        <w:left w:val="none" w:sz="0" w:space="0" w:color="auto"/>
        <w:bottom w:val="none" w:sz="0" w:space="0" w:color="auto"/>
        <w:right w:val="none" w:sz="0" w:space="0" w:color="auto"/>
      </w:divBdr>
    </w:div>
    <w:div w:id="1648700364">
      <w:bodyDiv w:val="1"/>
      <w:marLeft w:val="0"/>
      <w:marRight w:val="0"/>
      <w:marTop w:val="0"/>
      <w:marBottom w:val="0"/>
      <w:divBdr>
        <w:top w:val="none" w:sz="0" w:space="0" w:color="auto"/>
        <w:left w:val="none" w:sz="0" w:space="0" w:color="auto"/>
        <w:bottom w:val="none" w:sz="0" w:space="0" w:color="auto"/>
        <w:right w:val="none" w:sz="0" w:space="0" w:color="auto"/>
      </w:divBdr>
    </w:div>
    <w:div w:id="1693920565">
      <w:bodyDiv w:val="1"/>
      <w:marLeft w:val="0"/>
      <w:marRight w:val="0"/>
      <w:marTop w:val="0"/>
      <w:marBottom w:val="0"/>
      <w:divBdr>
        <w:top w:val="none" w:sz="0" w:space="0" w:color="auto"/>
        <w:left w:val="none" w:sz="0" w:space="0" w:color="auto"/>
        <w:bottom w:val="none" w:sz="0" w:space="0" w:color="auto"/>
        <w:right w:val="none" w:sz="0" w:space="0" w:color="auto"/>
      </w:divBdr>
    </w:div>
    <w:div w:id="1702314324">
      <w:bodyDiv w:val="1"/>
      <w:marLeft w:val="0"/>
      <w:marRight w:val="0"/>
      <w:marTop w:val="0"/>
      <w:marBottom w:val="0"/>
      <w:divBdr>
        <w:top w:val="none" w:sz="0" w:space="0" w:color="auto"/>
        <w:left w:val="none" w:sz="0" w:space="0" w:color="auto"/>
        <w:bottom w:val="none" w:sz="0" w:space="0" w:color="auto"/>
        <w:right w:val="none" w:sz="0" w:space="0" w:color="auto"/>
      </w:divBdr>
    </w:div>
    <w:div w:id="1710834338">
      <w:bodyDiv w:val="1"/>
      <w:marLeft w:val="0"/>
      <w:marRight w:val="0"/>
      <w:marTop w:val="0"/>
      <w:marBottom w:val="0"/>
      <w:divBdr>
        <w:top w:val="none" w:sz="0" w:space="0" w:color="auto"/>
        <w:left w:val="none" w:sz="0" w:space="0" w:color="auto"/>
        <w:bottom w:val="none" w:sz="0" w:space="0" w:color="auto"/>
        <w:right w:val="none" w:sz="0" w:space="0" w:color="auto"/>
      </w:divBdr>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
    <w:div w:id="1737698658">
      <w:bodyDiv w:val="1"/>
      <w:marLeft w:val="0"/>
      <w:marRight w:val="0"/>
      <w:marTop w:val="0"/>
      <w:marBottom w:val="0"/>
      <w:divBdr>
        <w:top w:val="none" w:sz="0" w:space="0" w:color="auto"/>
        <w:left w:val="none" w:sz="0" w:space="0" w:color="auto"/>
        <w:bottom w:val="none" w:sz="0" w:space="0" w:color="auto"/>
        <w:right w:val="none" w:sz="0" w:space="0" w:color="auto"/>
      </w:divBdr>
    </w:div>
    <w:div w:id="1774590595">
      <w:bodyDiv w:val="1"/>
      <w:marLeft w:val="0"/>
      <w:marRight w:val="0"/>
      <w:marTop w:val="0"/>
      <w:marBottom w:val="0"/>
      <w:divBdr>
        <w:top w:val="none" w:sz="0" w:space="0" w:color="auto"/>
        <w:left w:val="none" w:sz="0" w:space="0" w:color="auto"/>
        <w:bottom w:val="none" w:sz="0" w:space="0" w:color="auto"/>
        <w:right w:val="none" w:sz="0" w:space="0" w:color="auto"/>
      </w:divBdr>
    </w:div>
    <w:div w:id="1791627055">
      <w:bodyDiv w:val="1"/>
      <w:marLeft w:val="0"/>
      <w:marRight w:val="0"/>
      <w:marTop w:val="0"/>
      <w:marBottom w:val="0"/>
      <w:divBdr>
        <w:top w:val="none" w:sz="0" w:space="0" w:color="auto"/>
        <w:left w:val="none" w:sz="0" w:space="0" w:color="auto"/>
        <w:bottom w:val="none" w:sz="0" w:space="0" w:color="auto"/>
        <w:right w:val="none" w:sz="0" w:space="0" w:color="auto"/>
      </w:divBdr>
    </w:div>
    <w:div w:id="1804543171">
      <w:bodyDiv w:val="1"/>
      <w:marLeft w:val="0"/>
      <w:marRight w:val="0"/>
      <w:marTop w:val="0"/>
      <w:marBottom w:val="0"/>
      <w:divBdr>
        <w:top w:val="none" w:sz="0" w:space="0" w:color="auto"/>
        <w:left w:val="none" w:sz="0" w:space="0" w:color="auto"/>
        <w:bottom w:val="none" w:sz="0" w:space="0" w:color="auto"/>
        <w:right w:val="none" w:sz="0" w:space="0" w:color="auto"/>
      </w:divBdr>
    </w:div>
    <w:div w:id="1829788741">
      <w:bodyDiv w:val="1"/>
      <w:marLeft w:val="0"/>
      <w:marRight w:val="0"/>
      <w:marTop w:val="0"/>
      <w:marBottom w:val="0"/>
      <w:divBdr>
        <w:top w:val="none" w:sz="0" w:space="0" w:color="auto"/>
        <w:left w:val="none" w:sz="0" w:space="0" w:color="auto"/>
        <w:bottom w:val="none" w:sz="0" w:space="0" w:color="auto"/>
        <w:right w:val="none" w:sz="0" w:space="0" w:color="auto"/>
      </w:divBdr>
    </w:div>
    <w:div w:id="1888907815">
      <w:bodyDiv w:val="1"/>
      <w:marLeft w:val="0"/>
      <w:marRight w:val="0"/>
      <w:marTop w:val="0"/>
      <w:marBottom w:val="0"/>
      <w:divBdr>
        <w:top w:val="none" w:sz="0" w:space="0" w:color="auto"/>
        <w:left w:val="none" w:sz="0" w:space="0" w:color="auto"/>
        <w:bottom w:val="none" w:sz="0" w:space="0" w:color="auto"/>
        <w:right w:val="none" w:sz="0" w:space="0" w:color="auto"/>
      </w:divBdr>
    </w:div>
    <w:div w:id="1889801873">
      <w:bodyDiv w:val="1"/>
      <w:marLeft w:val="0"/>
      <w:marRight w:val="0"/>
      <w:marTop w:val="0"/>
      <w:marBottom w:val="0"/>
      <w:divBdr>
        <w:top w:val="none" w:sz="0" w:space="0" w:color="auto"/>
        <w:left w:val="none" w:sz="0" w:space="0" w:color="auto"/>
        <w:bottom w:val="none" w:sz="0" w:space="0" w:color="auto"/>
        <w:right w:val="none" w:sz="0" w:space="0" w:color="auto"/>
      </w:divBdr>
    </w:div>
    <w:div w:id="1925609235">
      <w:bodyDiv w:val="1"/>
      <w:marLeft w:val="0"/>
      <w:marRight w:val="0"/>
      <w:marTop w:val="0"/>
      <w:marBottom w:val="0"/>
      <w:divBdr>
        <w:top w:val="none" w:sz="0" w:space="0" w:color="auto"/>
        <w:left w:val="none" w:sz="0" w:space="0" w:color="auto"/>
        <w:bottom w:val="none" w:sz="0" w:space="0" w:color="auto"/>
        <w:right w:val="none" w:sz="0" w:space="0" w:color="auto"/>
      </w:divBdr>
    </w:div>
    <w:div w:id="1975594728">
      <w:bodyDiv w:val="1"/>
      <w:marLeft w:val="0"/>
      <w:marRight w:val="0"/>
      <w:marTop w:val="0"/>
      <w:marBottom w:val="0"/>
      <w:divBdr>
        <w:top w:val="none" w:sz="0" w:space="0" w:color="auto"/>
        <w:left w:val="none" w:sz="0" w:space="0" w:color="auto"/>
        <w:bottom w:val="none" w:sz="0" w:space="0" w:color="auto"/>
        <w:right w:val="none" w:sz="0" w:space="0" w:color="auto"/>
      </w:divBdr>
    </w:div>
    <w:div w:id="1981499022">
      <w:bodyDiv w:val="1"/>
      <w:marLeft w:val="0"/>
      <w:marRight w:val="0"/>
      <w:marTop w:val="0"/>
      <w:marBottom w:val="0"/>
      <w:divBdr>
        <w:top w:val="none" w:sz="0" w:space="0" w:color="auto"/>
        <w:left w:val="none" w:sz="0" w:space="0" w:color="auto"/>
        <w:bottom w:val="none" w:sz="0" w:space="0" w:color="auto"/>
        <w:right w:val="none" w:sz="0" w:space="0" w:color="auto"/>
      </w:divBdr>
    </w:div>
    <w:div w:id="2003775640">
      <w:bodyDiv w:val="1"/>
      <w:marLeft w:val="0"/>
      <w:marRight w:val="0"/>
      <w:marTop w:val="0"/>
      <w:marBottom w:val="0"/>
      <w:divBdr>
        <w:top w:val="none" w:sz="0" w:space="0" w:color="auto"/>
        <w:left w:val="none" w:sz="0" w:space="0" w:color="auto"/>
        <w:bottom w:val="none" w:sz="0" w:space="0" w:color="auto"/>
        <w:right w:val="none" w:sz="0" w:space="0" w:color="auto"/>
      </w:divBdr>
    </w:div>
    <w:div w:id="2037807215">
      <w:bodyDiv w:val="1"/>
      <w:marLeft w:val="0"/>
      <w:marRight w:val="0"/>
      <w:marTop w:val="0"/>
      <w:marBottom w:val="0"/>
      <w:divBdr>
        <w:top w:val="none" w:sz="0" w:space="0" w:color="auto"/>
        <w:left w:val="none" w:sz="0" w:space="0" w:color="auto"/>
        <w:bottom w:val="none" w:sz="0" w:space="0" w:color="auto"/>
        <w:right w:val="none" w:sz="0" w:space="0" w:color="auto"/>
      </w:divBdr>
    </w:div>
    <w:div w:id="2044135905">
      <w:bodyDiv w:val="1"/>
      <w:marLeft w:val="0"/>
      <w:marRight w:val="0"/>
      <w:marTop w:val="0"/>
      <w:marBottom w:val="0"/>
      <w:divBdr>
        <w:top w:val="none" w:sz="0" w:space="0" w:color="auto"/>
        <w:left w:val="none" w:sz="0" w:space="0" w:color="auto"/>
        <w:bottom w:val="none" w:sz="0" w:space="0" w:color="auto"/>
        <w:right w:val="none" w:sz="0" w:space="0" w:color="auto"/>
      </w:divBdr>
    </w:div>
    <w:div w:id="2081899088">
      <w:bodyDiv w:val="1"/>
      <w:marLeft w:val="0"/>
      <w:marRight w:val="0"/>
      <w:marTop w:val="0"/>
      <w:marBottom w:val="0"/>
      <w:divBdr>
        <w:top w:val="none" w:sz="0" w:space="0" w:color="auto"/>
        <w:left w:val="none" w:sz="0" w:space="0" w:color="auto"/>
        <w:bottom w:val="none" w:sz="0" w:space="0" w:color="auto"/>
        <w:right w:val="none" w:sz="0" w:space="0" w:color="auto"/>
      </w:divBdr>
    </w:div>
    <w:div w:id="2086217129">
      <w:bodyDiv w:val="1"/>
      <w:marLeft w:val="0"/>
      <w:marRight w:val="0"/>
      <w:marTop w:val="0"/>
      <w:marBottom w:val="0"/>
      <w:divBdr>
        <w:top w:val="none" w:sz="0" w:space="0" w:color="auto"/>
        <w:left w:val="none" w:sz="0" w:space="0" w:color="auto"/>
        <w:bottom w:val="none" w:sz="0" w:space="0" w:color="auto"/>
        <w:right w:val="none" w:sz="0" w:space="0" w:color="auto"/>
      </w:divBdr>
    </w:div>
    <w:div w:id="2118403198">
      <w:bodyDiv w:val="1"/>
      <w:marLeft w:val="0"/>
      <w:marRight w:val="0"/>
      <w:marTop w:val="0"/>
      <w:marBottom w:val="0"/>
      <w:divBdr>
        <w:top w:val="none" w:sz="0" w:space="0" w:color="auto"/>
        <w:left w:val="none" w:sz="0" w:space="0" w:color="auto"/>
        <w:bottom w:val="none" w:sz="0" w:space="0" w:color="auto"/>
        <w:right w:val="none" w:sz="0" w:space="0" w:color="auto"/>
      </w:divBdr>
    </w:div>
    <w:div w:id="2126776622">
      <w:bodyDiv w:val="1"/>
      <w:marLeft w:val="0"/>
      <w:marRight w:val="0"/>
      <w:marTop w:val="0"/>
      <w:marBottom w:val="0"/>
      <w:divBdr>
        <w:top w:val="none" w:sz="0" w:space="0" w:color="auto"/>
        <w:left w:val="none" w:sz="0" w:space="0" w:color="auto"/>
        <w:bottom w:val="none" w:sz="0" w:space="0" w:color="auto"/>
        <w:right w:val="none" w:sz="0" w:space="0" w:color="auto"/>
      </w:divBdr>
    </w:div>
    <w:div w:id="2139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89" TargetMode="External"/><Relationship Id="rId18" Type="http://schemas.openxmlformats.org/officeDocument/2006/relationships/hyperlink" Target="http://fcsp.xfyldecoast.nhs.uk/trustdocuments/Documents/OBS-GYNAE-GUID-103.doc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ce.org.uk/guidance/ng89" TargetMode="External"/><Relationship Id="rId17" Type="http://schemas.openxmlformats.org/officeDocument/2006/relationships/hyperlink" Target="https://www.england.nhs.uk/nhs-standard-contract/17-19-updated/" TargetMode="Externa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csp.xfyldecoast.nhs.uk/trustdocuments/Information%20Leaflets/PL1005.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csp.xfyldecoast.nhs.uk/trustdocuments/Documents/OBS-GYNAE-GUID-103.doc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647EEAB3148F1A7935367389F2307"/>
        <w:category>
          <w:name w:val="General"/>
          <w:gallery w:val="placeholder"/>
        </w:category>
        <w:types>
          <w:type w:val="bbPlcHdr"/>
        </w:types>
        <w:behaviors>
          <w:behavior w:val="content"/>
        </w:behaviors>
        <w:guid w:val="{891D0B41-ED93-431F-A54E-AC53602EF03C}"/>
      </w:docPartPr>
      <w:docPartBody>
        <w:p w:rsidR="00233F34" w:rsidRDefault="006B44C3" w:rsidP="006B44C3">
          <w:pPr>
            <w:pStyle w:val="A96647EEAB3148F1A7935367389F2307"/>
          </w:pPr>
          <w:r w:rsidRPr="00E73E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8325B46"/>
    <w:lvl w:ilvl="0">
      <w:start w:val="1"/>
      <w:numFmt w:val="decimal"/>
      <w:pStyle w:val="ListNumber3"/>
      <w:lvlText w:val="%1."/>
      <w:lvlJc w:val="left"/>
      <w:pPr>
        <w:tabs>
          <w:tab w:val="num" w:pos="926"/>
        </w:tabs>
        <w:ind w:left="926" w:hanging="360"/>
      </w:pPr>
    </w:lvl>
  </w:abstractNum>
  <w:abstractNum w:abstractNumId="1" w15:restartNumberingAfterBreak="0">
    <w:nsid w:val="18BA46CB"/>
    <w:multiLevelType w:val="hybridMultilevel"/>
    <w:tmpl w:val="D4B4B4F4"/>
    <w:lvl w:ilvl="0" w:tplc="8CE0E63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15:restartNumberingAfterBreak="0">
    <w:nsid w:val="43153A87"/>
    <w:multiLevelType w:val="hybridMultilevel"/>
    <w:tmpl w:val="67AE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40B12"/>
    <w:multiLevelType w:val="hybridMultilevel"/>
    <w:tmpl w:val="49F8FD04"/>
    <w:lvl w:ilvl="0" w:tplc="37A8B9B8">
      <w:start w:val="10"/>
      <w:numFmt w:val="bullet"/>
      <w:pStyle w:val="ListParagraph"/>
      <w:lvlText w:val=""/>
      <w:lvlJc w:val="left"/>
      <w:pPr>
        <w:tabs>
          <w:tab w:val="num" w:pos="360"/>
        </w:tabs>
        <w:ind w:left="340" w:hanging="340"/>
      </w:pPr>
      <w:rPr>
        <w:rFonts w:ascii="Symbol" w:hAnsi="Symbol" w:hint="default"/>
        <w:sz w:val="24"/>
      </w:rPr>
    </w:lvl>
    <w:lvl w:ilvl="1" w:tplc="2A7AF9B4">
      <w:start w:val="1"/>
      <w:numFmt w:val="decimal"/>
      <w:lvlText w:val="%2."/>
      <w:lvlJc w:val="left"/>
      <w:pPr>
        <w:tabs>
          <w:tab w:val="num" w:pos="360"/>
        </w:tabs>
        <w:ind w:left="340" w:hanging="34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55112717"/>
    <w:multiLevelType w:val="hybridMultilevel"/>
    <w:tmpl w:val="8BC22ABE"/>
    <w:lvl w:ilvl="0" w:tplc="0076F7FE">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886259763">
    <w:abstractNumId w:val="3"/>
  </w:num>
  <w:num w:numId="2" w16cid:durableId="1857579288">
    <w:abstractNumId w:val="1"/>
  </w:num>
  <w:num w:numId="3" w16cid:durableId="1463574106">
    <w:abstractNumId w:val="2"/>
  </w:num>
  <w:num w:numId="4" w16cid:durableId="1778674194">
    <w:abstractNumId w:val="4"/>
  </w:num>
  <w:num w:numId="5" w16cid:durableId="15135665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2C"/>
    <w:rsid w:val="00066228"/>
    <w:rsid w:val="000831CE"/>
    <w:rsid w:val="000B71F0"/>
    <w:rsid w:val="00153192"/>
    <w:rsid w:val="00215DCD"/>
    <w:rsid w:val="00233F34"/>
    <w:rsid w:val="00245C53"/>
    <w:rsid w:val="00342DA6"/>
    <w:rsid w:val="0038036D"/>
    <w:rsid w:val="003D731B"/>
    <w:rsid w:val="00450833"/>
    <w:rsid w:val="00502EBD"/>
    <w:rsid w:val="005551DD"/>
    <w:rsid w:val="0058116A"/>
    <w:rsid w:val="005A1111"/>
    <w:rsid w:val="005B572C"/>
    <w:rsid w:val="005C29BB"/>
    <w:rsid w:val="0069019C"/>
    <w:rsid w:val="006B44C3"/>
    <w:rsid w:val="00857922"/>
    <w:rsid w:val="008C2CAB"/>
    <w:rsid w:val="009253A7"/>
    <w:rsid w:val="009572B5"/>
    <w:rsid w:val="00AD4ADE"/>
    <w:rsid w:val="00B21B7B"/>
    <w:rsid w:val="00B67CDF"/>
    <w:rsid w:val="00BB29AD"/>
    <w:rsid w:val="00BD3D75"/>
    <w:rsid w:val="00C26DB0"/>
    <w:rsid w:val="00D03518"/>
    <w:rsid w:val="00D95495"/>
    <w:rsid w:val="00EA398C"/>
    <w:rsid w:val="00FA764A"/>
    <w:rsid w:val="00FB21EE"/>
    <w:rsid w:val="00FC0D0B"/>
    <w:rsid w:val="00FD3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F02AE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DC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B572C"/>
    <w:rPr>
      <w:rFonts w:ascii="Arial" w:hAnsi="Arial"/>
      <w:b/>
      <w:bCs/>
      <w:sz w:val="24"/>
    </w:rPr>
  </w:style>
  <w:style w:type="character" w:styleId="PlaceholderText">
    <w:name w:val="Placeholder Text"/>
    <w:basedOn w:val="DefaultParagraphFont"/>
    <w:uiPriority w:val="99"/>
    <w:semiHidden/>
    <w:rsid w:val="009572B5"/>
    <w:rPr>
      <w:color w:val="808080"/>
    </w:rPr>
  </w:style>
  <w:style w:type="paragraph" w:styleId="TOC2">
    <w:name w:val="toc 2"/>
    <w:basedOn w:val="Normal"/>
    <w:next w:val="Normal"/>
    <w:autoRedefine/>
    <w:uiPriority w:val="39"/>
    <w:rsid w:val="009572B5"/>
    <w:pPr>
      <w:tabs>
        <w:tab w:val="left" w:pos="851"/>
        <w:tab w:val="right" w:leader="dot" w:pos="9628"/>
      </w:tabs>
      <w:spacing w:after="0" w:line="240" w:lineRule="auto"/>
      <w:ind w:left="851" w:hanging="611"/>
    </w:pPr>
    <w:rPr>
      <w:rFonts w:ascii="Arial" w:eastAsia="Times New Roman" w:hAnsi="Arial" w:cs="Times New Roman"/>
      <w:bCs/>
      <w:sz w:val="24"/>
      <w:szCs w:val="20"/>
      <w:lang w:eastAsia="en-US"/>
    </w:rPr>
  </w:style>
  <w:style w:type="paragraph" w:styleId="BodyText2">
    <w:name w:val="Body Text 2"/>
    <w:basedOn w:val="Normal"/>
    <w:link w:val="BodyText2Char"/>
    <w:rsid w:val="009572B5"/>
    <w:pPr>
      <w:spacing w:after="0" w:line="240" w:lineRule="auto"/>
    </w:pPr>
    <w:rPr>
      <w:rFonts w:ascii="Arial" w:eastAsia="Times New Roman" w:hAnsi="Arial" w:cs="Times New Roman"/>
      <w:bCs/>
      <w:sz w:val="24"/>
      <w:szCs w:val="20"/>
      <w:lang w:eastAsia="en-US"/>
    </w:rPr>
  </w:style>
  <w:style w:type="character" w:customStyle="1" w:styleId="BodyText2Char">
    <w:name w:val="Body Text 2 Char"/>
    <w:basedOn w:val="DefaultParagraphFont"/>
    <w:link w:val="BodyText2"/>
    <w:rsid w:val="005B572C"/>
    <w:rPr>
      <w:rFonts w:ascii="Arial" w:eastAsia="Times New Roman" w:hAnsi="Arial" w:cs="Times New Roman"/>
      <w:bCs/>
      <w:sz w:val="24"/>
      <w:szCs w:val="20"/>
      <w:lang w:eastAsia="en-US"/>
    </w:rPr>
  </w:style>
  <w:style w:type="paragraph" w:styleId="ListParagraph">
    <w:name w:val="List Paragraph"/>
    <w:basedOn w:val="Normal"/>
    <w:autoRedefine/>
    <w:uiPriority w:val="34"/>
    <w:qFormat/>
    <w:rsid w:val="005B572C"/>
    <w:pPr>
      <w:numPr>
        <w:numId w:val="1"/>
      </w:numPr>
      <w:spacing w:before="120" w:after="120" w:line="240" w:lineRule="auto"/>
    </w:pPr>
    <w:rPr>
      <w:rFonts w:ascii="Arial" w:eastAsia="Times New Roman" w:hAnsi="Arial" w:cs="Times New Roman"/>
      <w:bCs/>
      <w:sz w:val="24"/>
      <w:szCs w:val="20"/>
      <w:lang w:eastAsia="en-US"/>
    </w:rPr>
  </w:style>
  <w:style w:type="character" w:styleId="CommentReference">
    <w:name w:val="annotation reference"/>
    <w:basedOn w:val="DefaultParagraphFont"/>
    <w:rsid w:val="005B572C"/>
    <w:rPr>
      <w:sz w:val="16"/>
      <w:szCs w:val="16"/>
    </w:rPr>
  </w:style>
  <w:style w:type="paragraph" w:customStyle="1" w:styleId="A96647EEAB3148F1A7935367389F2307">
    <w:name w:val="A96647EEAB3148F1A7935367389F2307"/>
    <w:rsid w:val="006B44C3"/>
  </w:style>
  <w:style w:type="paragraph" w:styleId="TOC9">
    <w:name w:val="toc 9"/>
    <w:basedOn w:val="Normal"/>
    <w:next w:val="Normal"/>
    <w:autoRedefine/>
    <w:rsid w:val="009572B5"/>
    <w:pPr>
      <w:spacing w:after="0" w:line="240" w:lineRule="auto"/>
      <w:ind w:left="1920"/>
    </w:pPr>
    <w:rPr>
      <w:rFonts w:ascii="Arial" w:eastAsia="Times New Roman" w:hAnsi="Arial" w:cs="Times New Roman"/>
      <w:bCs/>
      <w:sz w:val="24"/>
      <w:szCs w:val="20"/>
      <w:lang w:eastAsia="en-US"/>
    </w:rPr>
  </w:style>
  <w:style w:type="paragraph" w:styleId="TOC1">
    <w:name w:val="toc 1"/>
    <w:basedOn w:val="Normal"/>
    <w:next w:val="Normal"/>
    <w:autoRedefine/>
    <w:uiPriority w:val="39"/>
    <w:rsid w:val="00215DCD"/>
    <w:pPr>
      <w:tabs>
        <w:tab w:val="left" w:pos="567"/>
        <w:tab w:val="right" w:leader="dot" w:pos="9628"/>
      </w:tabs>
      <w:spacing w:before="40" w:after="0" w:line="240" w:lineRule="auto"/>
      <w:ind w:left="567" w:hanging="567"/>
    </w:pPr>
    <w:rPr>
      <w:rFonts w:ascii="Arial" w:eastAsia="Times New Roman" w:hAnsi="Arial" w:cs="Times New Roman"/>
      <w:bCs/>
      <w:sz w:val="24"/>
      <w:szCs w:val="20"/>
      <w:lang w:eastAsia="en-US"/>
    </w:rPr>
  </w:style>
  <w:style w:type="character" w:customStyle="1" w:styleId="Heading1Char">
    <w:name w:val="Heading 1 Char"/>
    <w:basedOn w:val="DefaultParagraphFont"/>
    <w:link w:val="Heading1"/>
    <w:uiPriority w:val="9"/>
    <w:rsid w:val="00215DCD"/>
    <w:rPr>
      <w:rFonts w:asciiTheme="majorHAnsi" w:eastAsiaTheme="majorEastAsia" w:hAnsiTheme="majorHAnsi" w:cstheme="majorBidi"/>
      <w:color w:val="0F4761" w:themeColor="accent1" w:themeShade="BF"/>
      <w:sz w:val="32"/>
      <w:szCs w:val="32"/>
    </w:rPr>
  </w:style>
  <w:style w:type="paragraph" w:styleId="ListNumber3">
    <w:name w:val="List Number 3"/>
    <w:basedOn w:val="Normal"/>
    <w:rsid w:val="009572B5"/>
    <w:pPr>
      <w:numPr>
        <w:numId w:val="5"/>
      </w:numPr>
      <w:spacing w:after="0" w:line="240" w:lineRule="auto"/>
      <w:contextualSpacing/>
    </w:pPr>
    <w:rPr>
      <w:rFonts w:ascii="Arial" w:eastAsia="Times New Roman" w:hAnsi="Arial" w:cs="Times New Roman"/>
      <w:bCs/>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b:Source>
    <b:Tag>UKC15</b:Tag>
    <b:SourceType>JournalArticle</b:SourceType>
    <b:Guid>{D3AE7F68-0BEA-4F88-AB5C-A0393EBE2A95}</b:Guid>
    <b:Author>
      <b:Author>
        <b:Corporate>UKCPA</b:Corporate>
      </b:Author>
    </b:Author>
    <b:Title>What doses of thromboprophylaxis are appropriate for adult patients at extremes of body weight</b:Title>
    <b:JournalName>Medicine Q&amp;A</b:JournalName>
    <b:Year>2015</b:Year>
    <b:Pages>362.2</b:Pages>
    <b:RefOrder>6</b:RefOrder>
  </b:Source>
  <b:Source>
    <b:Tag>DrH12</b:Tag>
    <b:SourceType>DocumentFromInternetSite</b:SourceType>
    <b:Guid>{4E103C40-0014-4023-90F6-F52B9EF21A46}</b:Guid>
    <b:Title>Guidelines on the diagnosis and management of heparin-induced thrombocytopenia: second edition</b:Title>
    <b:Year>2012</b:Year>
    <b:Author>
      <b:Author>
        <b:Corporate>Dr Henry Watson, Simon Davidson, David Keeling</b:Corporate>
      </b:Author>
    </b:Author>
    <b:JournalName>British Journal of Haematology</b:JournalName>
    <b:Pages>159, 528–540</b:Pages>
    <b:InternetSiteTitle>BJHaem.  Volume 159, Issue 5, Page 528 - 540</b:InternetSiteTitle>
    <b:Month>10</b:Month>
    <b:Day>09</b:Day>
    <b:YearAccessed>2021</b:YearAccessed>
    <b:MonthAccessed>10</b:MonthAccessed>
    <b:DayAccessed>11</b:DayAccessed>
    <b:URL>https://onlinelibrary.wiley.com/doi/full/10.1111/bjh.12059</b:URL>
    <b:RefOrder>7</b:RefOrder>
  </b:Source>
  <b:Source>
    <b:Tag>NIC184</b:Tag>
    <b:SourceType>InternetSite</b:SourceType>
    <b:Guid>{A096BC02-3A91-49BA-83F5-FBA226632294}</b:Guid>
    <b:Author>
      <b:Author>
        <b:Corporate>NICE</b:Corporate>
      </b:Author>
    </b:Author>
    <b:Title>Venous thromboembolism in over 16s: reducing the risk of hospital-acquired deep vein thrombosis or pulmonary embolism</b:Title>
    <b:Year>Last updated: 13 August 2019</b:Year>
    <b:YearAccessed>2024</b:YearAccessed>
    <b:MonthAccessed>08</b:MonthAccessed>
    <b:DayAccessed>27</b:DayAccessed>
    <b:URL>https://www.nice.org.uk/guidance/ng89</b:URL>
    <b:StandardNumber>NICE guideline [NG89]</b:StandardNumber>
    <b:RefOrder>1</b:RefOrder>
  </b:Source>
  <b:Source>
    <b:Tag>BTH1978</b:Tag>
    <b:SourceType>DocumentFromInternetSite</b:SourceType>
    <b:Guid>{B764EA91-5592-4BF3-8C58-2A0349C4FEFE}</b:Guid>
    <b:Author>
      <b:Author>
        <b:Corporate>BTHFT - Guideline</b:Corporate>
      </b:Author>
    </b:Author>
    <b:Title>Venous Thromboembolism - Antenatal, Intrapartum and Postnatal Risk Assessments and Prophylaxis  (including COVID-19)</b:Title>
    <b:Year>2022</b:Year>
    <b:Month>08</b:Month>
    <b:Day>24</b:Day>
    <b:YearAccessed>2024</b:YearAccessed>
    <b:MonthAccessed>08</b:MonthAccessed>
    <b:DayAccessed>27</b:DayAccessed>
    <b:URL>http://fcsp.xfyldecoast.nhs.uk/trustdocuments/Documents/OBS-GYNAE-GUID-103.docx</b:URL>
    <b:StandardNumber>OBS/GYNAE/GUID/103</b:StandardNumber>
    <b:RefOrder>2</b:RefOrder>
  </b:Source>
  <b:Source>
    <b:Tag>BTH1841</b:Tag>
    <b:SourceType>InternetSite</b:SourceType>
    <b:Guid>{8521FAE1-39ED-4E8B-A2BF-A119470F9CF3}</b:Guid>
    <b:Author>
      <b:Author>
        <b:Corporate>BTHFT - Form</b:Corporate>
      </b:Author>
    </b:Author>
    <b:Title>Admission Documentation Inpatient- Medical / Surgical Patient</b:Title>
    <b:Year>2024</b:Year>
    <b:YearAccessed>2024</b:YearAccessed>
    <b:MonthAccessed>08</b:MonthAccessed>
    <b:DayAccessed>27</b:DayAccessed>
    <b:URL>http://fcsp.xfyldecoast.nhs.uk/H/HealthRecordsLibrary/Documents/217300_BLA_VS243_R2_PROOF1%20(003).pdf</b:URL>
    <b:Month>01</b:Month>
    <b:Day>02</b:Day>
    <b:StandardNumber>VS243</b:StandardNumber>
    <b:RefOrder>3</b:RefOrder>
  </b:Source>
  <b:Source>
    <b:Tag>BTH1965</b:Tag>
    <b:SourceType>DocumentFromInternetSite</b:SourceType>
    <b:Guid>{07E52575-F838-443D-8C45-FBB80F5D8FED}</b:Guid>
    <b:Author>
      <b:Author>
        <b:Corporate>BTHFT - Leaflet</b:Corporate>
      </b:Author>
    </b:Author>
    <b:Title>How to help keep yourself safe</b:Title>
    <b:Year>2023</b:Year>
    <b:Month>01</b:Month>
    <b:Day>11</b:Day>
    <b:YearAccessed>2024</b:YearAccessed>
    <b:MonthAccessed>08</b:MonthAccessed>
    <b:DayAccessed>27</b:DayAccessed>
    <b:URL>http://fcsp.xfyldecoast.nhs.uk/trustdocuments/Information%20Leaflets/PL1005.pdf</b:URL>
    <b:StandardNumber>PL/1005</b:StandardNumber>
    <b:RefOrder>4</b:RefOrder>
  </b:Source>
  <b:Source>
    <b:Tag>NHS201</b:Tag>
    <b:SourceType>DocumentFromInternetSite</b:SourceType>
    <b:Guid>{D4C3C170-E25B-47AE-A17F-4071B637376E}</b:Guid>
    <b:Author>
      <b:Author>
        <b:Corporate>NHS England</b:Corporate>
      </b:Author>
    </b:Author>
    <b:Title>NHS Standard Contract</b:Title>
    <b:YearAccessed>2024</b:YearAccessed>
    <b:MonthAccessed>08</b:MonthAccessed>
    <b:DayAccessed>27</b:DayAccessed>
    <b:URL>https://www.england.nhs.uk/nhs-standard-contract/</b:URL>
    <b:RefOrder>5</b:RefOrder>
  </b:Source>
  <b:Source>
    <b:Tag>BTH195</b:Tag>
    <b:SourceType>DocumentFromInternetSite</b:SourceType>
    <b:Guid>{AC19F8FA-7296-4E43-86C2-4DB0174684DC}</b:Guid>
    <b:Author>
      <b:Author>
        <b:Corporate>BTHFT - Policy</b:Corporate>
      </b:Author>
    </b:Author>
    <b:Title>Patient Safety Incident Response Policy</b:Title>
    <b:Year>2023</b:Year>
    <b:Month>09</b:Month>
    <b:Day>07</b:Day>
    <b:YearAccessed>2024</b:YearAccessed>
    <b:MonthAccessed>08</b:MonthAccessed>
    <b:DayAccessed>27</b:DayAccessed>
    <b:URL>http://fcsp.xfyldecoast.nhs.uk/trustdocuments/Documents/CORP-POL-663.docx</b:URL>
    <b:StandardNumber>CORP/POL/663</b:StandardNumber>
    <b:RefOrder>8</b:RefOrder>
  </b:Source>
  <b:Source>
    <b:Tag>BTH216</b:Tag>
    <b:SourceType>DocumentFromInternetSite</b:SourceType>
    <b:Guid>{5B4897FE-86E6-4A18-A52D-0127BF8E1179}</b:Guid>
    <b:Author>
      <b:Author>
        <b:Corporate>BTHFT - Policy</b:Corporate>
      </b:Author>
    </b:Author>
    <b:Title>Trust and Local Induction</b:Title>
    <b:Year>2021</b:Year>
    <b:Month>01</b:Month>
    <b:Day>08</b:Day>
    <b:YearAccessed>2024</b:YearAccessed>
    <b:MonthAccessed>08</b:MonthAccessed>
    <b:DayAccessed>27</b:DayAccessed>
    <b:URL>http://fcsp.xfyldecoast.nhs.uk/trustdocuments/Documents/CORP-POL-045.docx</b:URL>
    <b:StandardNumber>CORP/POL/045</b:StandardNumber>
    <b:RefOrder>9</b:RefOrder>
  </b:Source>
  <b:Source>
    <b:Tag>BTH19101</b:Tag>
    <b:SourceType>DocumentFromInternetSite</b:SourceType>
    <b:Guid>{0348C3A0-9982-4475-92C4-036234E6709A}</b:Guid>
    <b:Author>
      <b:Author>
        <b:Corporate>BTHFT - Policy</b:Corporate>
      </b:Author>
    </b:Author>
    <b:Title>Health Record – Life Cycle Management Policy</b:Title>
    <b:Year>2022</b:Year>
    <b:Month>12</b:Month>
    <b:Day>14</b:Day>
    <b:YearAccessed>2024</b:YearAccessed>
    <b:MonthAccessed>08</b:MonthAccessed>
    <b:DayAccessed>27</b:DayAccessed>
    <b:URL>http://fcsp.xfyldecoast.nhs.uk/trustdocuments/Documents/CORP-POL-199.docx</b:URL>
    <b:StandardNumber>CORP/POL/199</b:StandardNumber>
    <b:RefOrder>10</b:RefOrder>
  </b:Source>
  <b:Source>
    <b:Tag>BTH2188</b:Tag>
    <b:SourceType>DocumentFromInternetSite</b:SourceType>
    <b:Guid>{C381C8C4-260D-43F6-85D2-6CB5E4381021}</b:Guid>
    <b:Author>
      <b:Author>
        <b:Corporate>BTHFT - Procedure</b:Corporate>
      </b:Author>
    </b:Author>
    <b:Title>Dalteparin for Treatment of Venous Thromboembolism</b:Title>
    <b:Year>2021</b:Year>
    <b:Month>06</b:Month>
    <b:Day>17</b:Day>
    <b:YearAccessed>2024</b:YearAccessed>
    <b:MonthAccessed>08</b:MonthAccessed>
    <b:DayAccessed>24</b:DayAccessed>
    <b:URL>http://fcsp.xfyldecoast.nhs.uk/trustdocuments/Documents/CORP-PROC-601.docx</b:URL>
    <b:StandardNumber>CORP/PROC/601</b:StandardNumber>
    <b:RefOrder>11</b:RefOrder>
  </b:Source>
  <b:Source>
    <b:Tag>NHS154</b:Tag>
    <b:SourceType>InternetSite</b:SourceType>
    <b:Guid>{A2FC8E68-7845-4769-B1D3-632C5780A7D9}</b:Guid>
    <b:Author>
      <b:Author>
        <b:Corporate>NHS England</b:Corporate>
      </b:Author>
    </b:Author>
    <b:Title>Patient safety alert – Harm from using Low Molecular Weight Heparins when contraindicated</b:Title>
    <b:Year>2015</b:Year>
    <b:YearAccessed>2024</b:YearAccessed>
    <b:MonthAccessed>08</b:MonthAccessed>
    <b:DayAccessed>27</b:DayAccessed>
    <b:URL>https://www.england.nhs.uk/2015/01/psa-heparins/</b:URL>
    <b:Month>01</b:Month>
    <b:Day>19</b:Day>
    <b:RefOrder>12</b:RefOrder>
  </b:Source>
  <b:Source>
    <b:Tag>Gee04</b:Tag>
    <b:SourceType>DocumentFromInternetSite</b:SourceType>
    <b:Guid>{44598073-A03C-4B0A-9B61-D695A0CC40BA}</b:Guid>
    <b:Title>Prevention of Venous Thromboembolism: The Seventh American College of Chest Physicians Conference on Antithrombotic and Thrombolytic Therapy</b:Title>
    <b:Year>2004</b:Year>
    <b:Author>
      <b:Author>
        <b:Corporate>Geerts WH</b:Corporate>
      </b:Author>
    </b:Author>
    <b:Pages>126: 338S-400S.</b:Pages>
    <b:StandardNumber>PMID: 15383478 DOI: 10.1378/chest.126.3_suppl.338S</b:StandardNumber>
    <b:InternetSiteTitle>Chest.  2004 Sep;126(3 Suppl):338S-400S</b:InternetSiteTitle>
    <b:YearAccessed>2024</b:YearAccessed>
    <b:MonthAccessed>08</b:MonthAccessed>
    <b:DayAccessed>27</b:DayAccessed>
    <b:URL>https://pubmed.ncbi.nlm.nih.gov/15383478/</b:URL>
    <b:RefOrder>13</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A8E07B1B4F229429D1DADD7906076C4" ma:contentTypeVersion="19" ma:contentTypeDescription="Create a new document." ma:contentTypeScope="" ma:versionID="511c2b15cbf6bd70519c5a266535604b">
  <xsd:schema xmlns:xsd="http://www.w3.org/2001/XMLSchema" xmlns:xs="http://www.w3.org/2001/XMLSchema" xmlns:p="http://schemas.microsoft.com/office/2006/metadata/properties" xmlns:ns1="http://schemas.microsoft.com/sharepoint/v3" xmlns:ns2="33e0186f-1ed6-4aeb-a977-942b47fc945b" targetNamespace="http://schemas.microsoft.com/office/2006/metadata/properties" ma:root="true" ma:fieldsID="7f28956b950b811092fdb68242860d51" ns1:_="" ns2:_="">
    <xsd:import namespace="http://schemas.microsoft.com/sharepoint/v3"/>
    <xsd:import namespace="33e0186f-1ed6-4aeb-a977-942b47fc94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186f-1ed6-4aeb-a977-942b47fc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33e0186f-1ed6-4aeb-a977-942b47fc94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73E215-975B-463A-A22A-727776C24284}">
  <ds:schemaRefs>
    <ds:schemaRef ds:uri="http://schemas.microsoft.com/sharepoint/v3/contenttype/forms"/>
  </ds:schemaRefs>
</ds:datastoreItem>
</file>

<file path=customXml/itemProps2.xml><?xml version="1.0" encoding="utf-8"?>
<ds:datastoreItem xmlns:ds="http://schemas.openxmlformats.org/officeDocument/2006/customXml" ds:itemID="{F15F1E56-9085-481C-9821-14545464953F}">
  <ds:schemaRefs>
    <ds:schemaRef ds:uri="http://schemas.openxmlformats.org/officeDocument/2006/bibliography"/>
  </ds:schemaRefs>
</ds:datastoreItem>
</file>

<file path=customXml/itemProps3.xml><?xml version="1.0" encoding="utf-8"?>
<ds:datastoreItem xmlns:ds="http://schemas.openxmlformats.org/officeDocument/2006/customXml" ds:itemID="{35D8615B-B569-4E1B-AD4E-88D4EE1B2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186f-1ed6-4aeb-a977-942b47fc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2B592-67BA-4BAC-83BE-70BA3D4F6F9D}">
  <ds:schemaRefs>
    <ds:schemaRef ds:uri="http://schemas.microsoft.com/sharepoint/v4"/>
    <ds:schemaRef ds:uri="http://purl.org/dc/elements/1.1/"/>
    <ds:schemaRef ds:uri="http://schemas.microsoft.com/office/2006/metadata/properties"/>
    <ds:schemaRef ds:uri="0bad8fe3-5959-42de-a75d-4d6b4c8fb126"/>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dfdf80f-bc50-4387-b57c-1623e5a3d712"/>
    <ds:schemaRef ds:uri="http://www.w3.org/XML/1998/namespace"/>
    <ds:schemaRef ds:uri="http://purl.org/dc/dcmitype/"/>
    <ds:schemaRef ds:uri="33e0186f-1ed6-4aeb-a977-942b47fc945b"/>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4997</Words>
  <Characters>28489</Characters>
  <Application>Microsoft Office Word</Application>
  <DocSecurity>0</DocSecurity>
  <Lines>237</Lines>
  <Paragraphs>66</Paragraphs>
  <ScaleCrop>false</ScaleCrop>
  <Company>Blackpool Victoria NHS Trust</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Prevention of Venous Thromboembolism (VTE) in Medical Surgical Patients (16 years +) and those requiring lower limb plaster casts / immobilisations</dc:title>
  <dc:creator>Forrest Margaret (BFWH)</dc:creator>
  <cp:lastModifiedBy>CROUCH, Tabitha (NHS LANCASHIRE AND SOUTH CUMBRIA ICB - 02M)</cp:lastModifiedBy>
  <cp:revision>2</cp:revision>
  <cp:lastPrinted>2018-01-19T15:00:00Z</cp:lastPrinted>
  <dcterms:created xsi:type="dcterms:W3CDTF">2026-03-16T12:42:00Z</dcterms:created>
  <dcterms:modified xsi:type="dcterms:W3CDTF">2026-03-16T12:42:00Z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0x0101001A8E07B1B4F229429D1DADD7906076C4</vt:lpwstr>
  </property>
  <property fmtid="{D5CDD505-2E9C-101B-9397-08002B2CF9AE}" pid="4" name="URL">
    <vt:lpwstr/>
  </property>
  <property fmtid="{D5CDD505-2E9C-101B-9397-08002B2CF9AE}" pid="5" name="Order">
    <vt:r8>197000</vt:r8>
  </property>
  <property fmtid="{D5CDD505-2E9C-101B-9397-08002B2CF9AE}" pid="6" name="Current Review Status">
    <vt:lpwstr/>
  </property>
  <property fmtid="{D5CDD505-2E9C-101B-9397-08002B2CF9AE}" pid="7" name="_dlc_policyId">
    <vt:lpwstr>0x010100D2BDFCAFA5BE924EB6239C7F956A43BC|1221755211</vt:lpwstr>
  </property>
  <property fmtid="{D5CDD505-2E9C-101B-9397-08002B2CF9AE}" pid="8" name="Validated by">
    <vt:lpwstr>clinical Improvement committee</vt:lpwstr>
  </property>
  <property fmtid="{D5CDD505-2E9C-101B-9397-08002B2CF9AE}" pid="9" name="Metadata Test">
    <vt:lpwstr>2014-04-07T23:00:00+00:00</vt:lpwstr>
  </property>
  <property fmtid="{D5CDD505-2E9C-101B-9397-08002B2CF9AE}" pid="10" name="ItemRetentionFormula">
    <vt:lpwstr>&lt;formula id="Microsoft.Office.RecordsManagement.PolicyFeatures.Expiration.Formula.BuiltIn"&gt;&lt;number&gt;0&lt;/number&gt;&lt;property&gt;FourMonthRetPol&lt;/property&gt;&lt;propertyId&gt;70177b77-69c7-4b11-9ad4-1f99241d8c94&lt;/propertyId&gt;&lt;period&gt;days&lt;/period&gt;&lt;/formula&gt;</vt:lpwstr>
  </property>
  <property fmtid="{D5CDD505-2E9C-101B-9397-08002B2CF9AE}" pid="11" name="_dlc_LastRun">
    <vt:lpwstr>02/02/2018 06:40:00</vt:lpwstr>
  </property>
  <property fmtid="{D5CDD505-2E9C-101B-9397-08002B2CF9AE}" pid="12" name="_dlc_ItemStageId">
    <vt:lpwstr>2</vt:lpwstr>
  </property>
  <property fmtid="{D5CDD505-2E9C-101B-9397-08002B2CF9AE}" pid="13" name="WorkflowChangePath">
    <vt:lpwstr>81b26162-a501-403f-b95b-a5043df60040,34;832bf55c-2aa2-4f63-b65a-00a1a440ad46,35;832bf55c-2aa2-4f63-b65a-00a1a440ad46,37;7ed5c7b9-90a8-4cc2-84e7-094d54125b97,47;832bf55c-2aa2-4f63-b65a-00a1a440ad46,48;7ed5c7b9-90a8-4cc2-84e7-094d54125b97,54;832bf55c-2aa2-4832bf55c-2aa2-4f63-b65a-00a1a440ad46,85;98f5f364-e9bd-4f4d-9857-7cc0ab784997,87;832bf55c-2aa2-4f63-b65a-00a1a440ad46,88;832bf55c-2aa2-4f63-b65a-00a1a440ad46,90;832bf55c-2aa2-4f63-b65a-00a1a440ad46,92;087ba548-a41f-49e5-bfee-17acf509a356,93;832bf55c-2aa2-4f63-b65a-00a1a440ad46,94;1f7333cd-9495-4c4e-83a5-26f47909797f,96;832bf55c-2aa2-4f63-b65a-00a1a440ad46,97;832bf55c-2aa2-4f63-b65a-00a1a440ad46,99;bce68d4b-5e55-4d37-9d1b-425a0aa02641,101;832bf55c-2aa2-4f63-b65a-00a1a440ad46,102;832bf55c-2aa2-4f63-b65a-00a1a440ad46,107;832bf55c-2aa2-4f63-b65a-00a1a440ad46,109;832bf55c-2aa2-4f63-b65a-00a1a440ad46,111;832bf55c-2aa2-4f63-b65a-00a1a440ad46,113;832bf55c-2aa2-4f63-b65a-00a1a440ad46,115;832bf55c-2aa2-4f63-b65a-00a1a440ad46,118;832bf55c-2aa2-4f63-b65a-00a1a440ad46,121;832bf55c-2aa2-4f63-b65a-00a1a440ad46,124;832bf55c-2aa2-4f63-b65a-00a1a440ad46,126;832bf55c-2aa2-4f63-b65a-00a1a440ad46,129;832bf55c-2aa2-4f63-b65a-00a1a440ad46,131;832bf55c-2aa2-4f63-b65a-00a1a440ad46,133;832bf55c-2aa2-4f63-b65a-00a1a440ad46,145;832bf55c-2aa2-4f63-b65a-00a1a440ad46,147;832bf55c-2aa2-4f63-b65a-00a1a440ad46,149;832bf55c-2aa2-4f63-b65a-00a1a440ad46,152;832bf55c-2aa2-4f63-b65a-00a1a440ad46,154;832bf55c-2aa2-4f63-b65a-00a1a440ad46,156;832bf55c-2aa2-4f63-b65a-00a1a440ad46,158;00787c3b-b38d-4a46-b9a8-f621dbc5ff2d,160;832bf55c-2aa2-4f63-b65a-00a1a440ad46,161;</vt:lpwstr>
  </property>
  <property fmtid="{D5CDD505-2E9C-101B-9397-08002B2CF9AE}" pid="14" name="MediaServiceImageTags">
    <vt:lpwstr/>
  </property>
</Properties>
</file>