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6325" w14:textId="77777777" w:rsidR="007109A7" w:rsidRDefault="0033690D" w:rsidP="0033690D">
      <w:pPr>
        <w:jc w:val="right"/>
      </w:pPr>
      <w:r>
        <w:rPr>
          <w:rFonts w:cs="Arial"/>
          <w:noProof/>
          <w:szCs w:val="24"/>
          <w:lang w:eastAsia="en-GB"/>
        </w:rPr>
        <w:drawing>
          <wp:inline distT="0" distB="0" distL="0" distR="0" wp14:anchorId="1DFD4309" wp14:editId="735ED67A">
            <wp:extent cx="1912172" cy="10287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35065" t="15447" r="7223" b="15448"/>
                    <a:stretch/>
                  </pic:blipFill>
                  <pic:spPr bwMode="auto">
                    <a:xfrm>
                      <a:off x="0" y="0"/>
                      <a:ext cx="1913731" cy="1029539"/>
                    </a:xfrm>
                    <a:prstGeom prst="rect">
                      <a:avLst/>
                    </a:prstGeom>
                    <a:ln>
                      <a:noFill/>
                    </a:ln>
                    <a:extLst>
                      <a:ext uri="{53640926-AAD7-44D8-BBD7-CCE9431645EC}">
                        <a14:shadowObscured xmlns:a14="http://schemas.microsoft.com/office/drawing/2010/main"/>
                      </a:ext>
                    </a:extLst>
                  </pic:spPr>
                </pic:pic>
              </a:graphicData>
            </a:graphic>
          </wp:inline>
        </w:drawing>
      </w:r>
    </w:p>
    <w:p w14:paraId="52164025" w14:textId="77777777" w:rsidR="007109A7" w:rsidRDefault="007109A7" w:rsidP="007B738D"/>
    <w:p w14:paraId="3AA7A864" w14:textId="17EC6DFF" w:rsidR="007B738D" w:rsidRPr="007B738D" w:rsidRDefault="00A6775A" w:rsidP="007B738D">
      <w:pPr>
        <w:rPr>
          <w:sz w:val="48"/>
          <w:szCs w:val="48"/>
        </w:rPr>
      </w:pPr>
      <w:r w:rsidRPr="00A6775A">
        <w:rPr>
          <w:rStyle w:val="Strong"/>
          <w:sz w:val="48"/>
          <w:szCs w:val="48"/>
        </w:rPr>
        <w:t>Enoxaparin for Treatment of Venous Thromboembolism</w:t>
      </w:r>
    </w:p>
    <w:p w14:paraId="4CF3D780" w14:textId="77777777" w:rsidR="007B738D" w:rsidRDefault="007B738D" w:rsidP="007B738D"/>
    <w:tbl>
      <w:tblPr>
        <w:tblStyle w:val="TableGrid"/>
        <w:tblW w:w="5000" w:type="pct"/>
        <w:tblLook w:val="04A0" w:firstRow="1" w:lastRow="0" w:firstColumn="1" w:lastColumn="0" w:noHBand="0" w:noVBand="1"/>
      </w:tblPr>
      <w:tblGrid>
        <w:gridCol w:w="2993"/>
        <w:gridCol w:w="1298"/>
        <w:gridCol w:w="1306"/>
        <w:gridCol w:w="1418"/>
        <w:gridCol w:w="1306"/>
        <w:gridCol w:w="1307"/>
      </w:tblGrid>
      <w:tr w:rsidR="00D97380" w14:paraId="586B4865" w14:textId="77777777" w:rsidTr="00804484">
        <w:tc>
          <w:tcPr>
            <w:tcW w:w="1564" w:type="pct"/>
          </w:tcPr>
          <w:p w14:paraId="419F14CE" w14:textId="77777777" w:rsidR="00D97380" w:rsidRDefault="00D97380" w:rsidP="007B738D">
            <w:r w:rsidRPr="00E8665D">
              <w:rPr>
                <w:rStyle w:val="Strong"/>
              </w:rPr>
              <w:t>Unique Identifier:</w:t>
            </w:r>
          </w:p>
        </w:tc>
        <w:tc>
          <w:tcPr>
            <w:tcW w:w="3436" w:type="pct"/>
            <w:gridSpan w:val="5"/>
          </w:tcPr>
          <w:p w14:paraId="0EEDEB5F" w14:textId="1985C215" w:rsidR="00D97380" w:rsidRPr="002F54DC" w:rsidRDefault="00216B01" w:rsidP="007B738D">
            <w:r w:rsidRPr="00216B01">
              <w:rPr>
                <w:rStyle w:val="Style2"/>
              </w:rPr>
              <w:t>CORP/PROC/601</w:t>
            </w:r>
          </w:p>
        </w:tc>
      </w:tr>
      <w:tr w:rsidR="00D97380" w14:paraId="3A46DCB3" w14:textId="77777777" w:rsidTr="00804484">
        <w:tc>
          <w:tcPr>
            <w:tcW w:w="1564" w:type="pct"/>
          </w:tcPr>
          <w:p w14:paraId="26C51CF7" w14:textId="77777777" w:rsidR="00D97380" w:rsidRPr="00E8665D" w:rsidRDefault="00D97380" w:rsidP="007B738D">
            <w:pPr>
              <w:rPr>
                <w:rStyle w:val="Strong"/>
              </w:rPr>
            </w:pPr>
            <w:r w:rsidRPr="00E8665D">
              <w:rPr>
                <w:rStyle w:val="Strong"/>
              </w:rPr>
              <w:t>Version Number:</w:t>
            </w:r>
          </w:p>
        </w:tc>
        <w:tc>
          <w:tcPr>
            <w:tcW w:w="3436" w:type="pct"/>
            <w:gridSpan w:val="5"/>
          </w:tcPr>
          <w:p w14:paraId="72F4F423" w14:textId="0E9FBA7C" w:rsidR="00D97380" w:rsidRPr="002F54DC" w:rsidRDefault="00216B01" w:rsidP="007B738D">
            <w:r>
              <w:rPr>
                <w:rStyle w:val="Style4"/>
              </w:rPr>
              <w:t>5</w:t>
            </w:r>
            <w:r w:rsidR="00457768">
              <w:rPr>
                <w:rStyle w:val="Style4"/>
              </w:rPr>
              <w:t>.1</w:t>
            </w:r>
          </w:p>
        </w:tc>
      </w:tr>
      <w:tr w:rsidR="006646B1" w14:paraId="54CA415C" w14:textId="77777777" w:rsidTr="00804484">
        <w:tc>
          <w:tcPr>
            <w:tcW w:w="1564" w:type="pct"/>
          </w:tcPr>
          <w:p w14:paraId="4B8D8DC7" w14:textId="77777777" w:rsidR="006646B1" w:rsidRPr="00E8665D" w:rsidRDefault="006646B1" w:rsidP="007B738D">
            <w:pPr>
              <w:rPr>
                <w:rStyle w:val="Strong"/>
              </w:rPr>
            </w:pPr>
            <w:r w:rsidRPr="006646B1">
              <w:rPr>
                <w:rStyle w:val="Strong"/>
              </w:rPr>
              <w:t>Type of Update / Status:</w:t>
            </w:r>
          </w:p>
        </w:tc>
        <w:tc>
          <w:tcPr>
            <w:tcW w:w="3436" w:type="pct"/>
            <w:gridSpan w:val="5"/>
          </w:tcPr>
          <w:p w14:paraId="1084E177" w14:textId="000C1C5F" w:rsidR="006646B1" w:rsidRPr="00F02C7D" w:rsidRDefault="0067250F" w:rsidP="006646B1">
            <w:pPr>
              <w:rPr>
                <w:rStyle w:val="Strong"/>
                <w:b w:val="0"/>
                <w:bCs/>
              </w:rPr>
            </w:pPr>
            <w:sdt>
              <w:sdtPr>
                <w:rPr>
                  <w:rStyle w:val="Style2"/>
                </w:rPr>
                <w:alias w:val="Status - for example Draft or Ratified"/>
                <w:tag w:val="Status - for example Draft or Ratified"/>
                <w:id w:val="-1596012490"/>
                <w:placeholder>
                  <w:docPart w:val="A96647EEAB3148F1A7935367389F2307"/>
                </w:placeholder>
                <w:comboBox>
                  <w:listItem w:value="Choose an item."/>
                  <w:listItem w:displayText="Draft with Minor / No Technical Changes" w:value="Draft with Minor / No Technical Changes"/>
                  <w:listItem w:displayText="Draft with Moderate Changes" w:value="Draft with Moderate Changes"/>
                  <w:listItem w:displayText="Draft with Major Changes / Complete Rewrite" w:value="Draft with Major Changes / Complete Rewrite"/>
                  <w:listItem w:displayText="Draft - New Document" w:value="Draft - New Document"/>
                  <w:listItem w:displayText="Final Approval with Minor / No Technical Changes" w:value="Final Approval with Minor / No Technical Changes"/>
                  <w:listItem w:displayText="Final Approval with Moderate Changes" w:value="Final Approval with Moderate Changes"/>
                  <w:listItem w:displayText="Final Approval with Major Changes / Complete Rewrite" w:value="Final Approval with Major Changes / Complete Rewrite"/>
                  <w:listItem w:displayText="Final Approval - New Document" w:value="Final Approval - New Document"/>
                </w:comboBox>
              </w:sdtPr>
              <w:sdtEndPr>
                <w:rPr>
                  <w:rStyle w:val="Style2"/>
                </w:rPr>
              </w:sdtEndPr>
              <w:sdtContent>
                <w:r w:rsidR="0021772F">
                  <w:rPr>
                    <w:rStyle w:val="Style2"/>
                  </w:rPr>
                  <w:t>Final Approval with Moderate Changes</w:t>
                </w:r>
              </w:sdtContent>
            </w:sdt>
          </w:p>
        </w:tc>
      </w:tr>
      <w:tr w:rsidR="00D97380" w14:paraId="357AD473" w14:textId="77777777" w:rsidTr="00804484">
        <w:tc>
          <w:tcPr>
            <w:tcW w:w="1564" w:type="pct"/>
          </w:tcPr>
          <w:p w14:paraId="6E3A49ED" w14:textId="06026E0D" w:rsidR="00D97380" w:rsidRPr="00E8665D" w:rsidRDefault="00D97380" w:rsidP="007B738D">
            <w:pPr>
              <w:rPr>
                <w:rStyle w:val="Strong"/>
              </w:rPr>
            </w:pPr>
            <w:r w:rsidRPr="00115716">
              <w:rPr>
                <w:rStyle w:val="Strong"/>
              </w:rPr>
              <w:t>Division and Department:</w:t>
            </w:r>
          </w:p>
        </w:tc>
        <w:tc>
          <w:tcPr>
            <w:tcW w:w="3436" w:type="pct"/>
            <w:gridSpan w:val="5"/>
          </w:tcPr>
          <w:p w14:paraId="4D32EB54" w14:textId="6F359DF2" w:rsidR="00D97380" w:rsidRPr="002F54DC" w:rsidRDefault="00216B01" w:rsidP="007B738D">
            <w:r>
              <w:rPr>
                <w:rStyle w:val="Style2"/>
              </w:rPr>
              <w:t>Clinical Support, Pharmacy</w:t>
            </w:r>
          </w:p>
        </w:tc>
      </w:tr>
      <w:tr w:rsidR="00D97380" w14:paraId="5FD8AE2A" w14:textId="77777777" w:rsidTr="00804484">
        <w:tc>
          <w:tcPr>
            <w:tcW w:w="1564" w:type="pct"/>
          </w:tcPr>
          <w:p w14:paraId="44351EF0" w14:textId="453F4AE9" w:rsidR="00D97380" w:rsidRPr="00E8665D" w:rsidRDefault="003122AD" w:rsidP="007B738D">
            <w:pPr>
              <w:rPr>
                <w:rStyle w:val="Strong"/>
              </w:rPr>
            </w:pPr>
            <w:r>
              <w:rPr>
                <w:rStyle w:val="Strong"/>
              </w:rPr>
              <w:t xml:space="preserve">Current </w:t>
            </w:r>
            <w:r w:rsidR="00D97380" w:rsidRPr="00115716">
              <w:rPr>
                <w:rStyle w:val="Strong"/>
              </w:rPr>
              <w:t>Author</w:t>
            </w:r>
            <w:r w:rsidR="00D97380">
              <w:rPr>
                <w:rStyle w:val="Strong"/>
              </w:rPr>
              <w:t xml:space="preserve"> </w:t>
            </w:r>
            <w:r>
              <w:rPr>
                <w:rStyle w:val="Strong"/>
              </w:rPr>
              <w:t xml:space="preserve">/ Lead </w:t>
            </w:r>
            <w:r w:rsidR="00D97380" w:rsidRPr="00115716">
              <w:rPr>
                <w:rStyle w:val="Strong"/>
              </w:rPr>
              <w:t>and Job Title:</w:t>
            </w:r>
          </w:p>
        </w:tc>
        <w:tc>
          <w:tcPr>
            <w:tcW w:w="3436" w:type="pct"/>
            <w:gridSpan w:val="5"/>
          </w:tcPr>
          <w:p w14:paraId="2BA3D758" w14:textId="7459068F" w:rsidR="00127736" w:rsidRPr="00127736" w:rsidRDefault="00127736" w:rsidP="00127736">
            <w:pPr>
              <w:rPr>
                <w:rStyle w:val="Style2"/>
              </w:rPr>
            </w:pPr>
            <w:r w:rsidRPr="00127736">
              <w:rPr>
                <w:rStyle w:val="Style2"/>
              </w:rPr>
              <w:t>Jennifer Walters – Lead Pharmacist – Surgery</w:t>
            </w:r>
          </w:p>
          <w:p w14:paraId="44F0AAE3" w14:textId="593F8187" w:rsidR="00D97380" w:rsidRPr="002F54DC" w:rsidRDefault="00127736" w:rsidP="00127736">
            <w:r w:rsidRPr="00127736">
              <w:rPr>
                <w:rStyle w:val="Style2"/>
              </w:rPr>
              <w:t>Dr Kolade – Consultant Haematologist</w:t>
            </w:r>
          </w:p>
        </w:tc>
      </w:tr>
      <w:tr w:rsidR="00D97380" w14:paraId="1D1542A3" w14:textId="77777777" w:rsidTr="00804484">
        <w:tc>
          <w:tcPr>
            <w:tcW w:w="1564" w:type="pct"/>
          </w:tcPr>
          <w:p w14:paraId="169E6A16" w14:textId="77777777" w:rsidR="00D97380" w:rsidRPr="00E8665D" w:rsidRDefault="00D97380" w:rsidP="007B738D">
            <w:pPr>
              <w:rPr>
                <w:rStyle w:val="Strong"/>
              </w:rPr>
            </w:pPr>
            <w:r w:rsidRPr="00E8665D">
              <w:rPr>
                <w:rStyle w:val="Strong"/>
              </w:rPr>
              <w:t>Replaces:</w:t>
            </w:r>
          </w:p>
        </w:tc>
        <w:tc>
          <w:tcPr>
            <w:tcW w:w="3436" w:type="pct"/>
            <w:gridSpan w:val="5"/>
          </w:tcPr>
          <w:p w14:paraId="565885E3" w14:textId="467EE8A6" w:rsidR="00D97380" w:rsidRPr="002F54DC" w:rsidRDefault="00F84ED6" w:rsidP="007B738D">
            <w:r w:rsidRPr="00F84ED6">
              <w:rPr>
                <w:rStyle w:val="Style2"/>
              </w:rPr>
              <w:t>CORP/PROC/601</w:t>
            </w:r>
            <w:r>
              <w:rPr>
                <w:rStyle w:val="Style2"/>
              </w:rPr>
              <w:t>,</w:t>
            </w:r>
            <w:r w:rsidRPr="00F84ED6">
              <w:rPr>
                <w:rStyle w:val="Style2"/>
              </w:rPr>
              <w:t xml:space="preserve"> Version </w:t>
            </w:r>
            <w:r w:rsidR="00457768">
              <w:rPr>
                <w:rStyle w:val="Style2"/>
              </w:rPr>
              <w:t>5</w:t>
            </w:r>
            <w:r>
              <w:rPr>
                <w:rStyle w:val="Style2"/>
              </w:rPr>
              <w:t xml:space="preserve">, </w:t>
            </w:r>
            <w:r w:rsidRPr="00F84ED6">
              <w:rPr>
                <w:rStyle w:val="Style2"/>
              </w:rPr>
              <w:t>Dalteparin for Treatment of Venous Thromboembolism</w:t>
            </w:r>
          </w:p>
        </w:tc>
      </w:tr>
      <w:tr w:rsidR="00D97380" w14:paraId="6CBEEC6F" w14:textId="77777777" w:rsidTr="00804484">
        <w:tc>
          <w:tcPr>
            <w:tcW w:w="1564" w:type="pct"/>
          </w:tcPr>
          <w:p w14:paraId="53AA33A4" w14:textId="77777777" w:rsidR="00D97380" w:rsidRPr="00E8665D" w:rsidRDefault="00D97380" w:rsidP="00D97380">
            <w:pPr>
              <w:rPr>
                <w:rStyle w:val="Strong"/>
              </w:rPr>
            </w:pPr>
            <w:r w:rsidRPr="00E8665D">
              <w:rPr>
                <w:rStyle w:val="Strong"/>
              </w:rPr>
              <w:t>Description of amendments:</w:t>
            </w:r>
          </w:p>
        </w:tc>
        <w:tc>
          <w:tcPr>
            <w:tcW w:w="3436" w:type="pct"/>
            <w:gridSpan w:val="5"/>
          </w:tcPr>
          <w:p w14:paraId="438BFEE8" w14:textId="70182588" w:rsidR="00D97380" w:rsidRPr="002F54DC" w:rsidRDefault="00A61A3B" w:rsidP="007B738D">
            <w:pPr>
              <w:rPr>
                <w:rStyle w:val="Strong"/>
              </w:rPr>
            </w:pPr>
            <w:r w:rsidRPr="00A61A3B">
              <w:rPr>
                <w:rStyle w:val="Style2"/>
              </w:rPr>
              <w:t>Dalteparin changed to Enoxaparin</w:t>
            </w:r>
          </w:p>
        </w:tc>
      </w:tr>
      <w:tr w:rsidR="00D97380" w14:paraId="7FC68EA8" w14:textId="77777777" w:rsidTr="00804484">
        <w:tc>
          <w:tcPr>
            <w:tcW w:w="1564" w:type="pct"/>
          </w:tcPr>
          <w:p w14:paraId="73815C93" w14:textId="77777777" w:rsidR="00D97380" w:rsidRPr="00E8665D" w:rsidRDefault="00BD2E74" w:rsidP="00BD2E74">
            <w:pPr>
              <w:rPr>
                <w:rStyle w:val="Strong"/>
              </w:rPr>
            </w:pPr>
            <w:r>
              <w:rPr>
                <w:rStyle w:val="Strong"/>
              </w:rPr>
              <w:t>Approved</w:t>
            </w:r>
            <w:r w:rsidR="00D97380" w:rsidRPr="00115716">
              <w:rPr>
                <w:rStyle w:val="Strong"/>
              </w:rPr>
              <w:t xml:space="preserve"> by:</w:t>
            </w:r>
          </w:p>
        </w:tc>
        <w:tc>
          <w:tcPr>
            <w:tcW w:w="3436" w:type="pct"/>
            <w:gridSpan w:val="5"/>
          </w:tcPr>
          <w:p w14:paraId="44C97627" w14:textId="7E2BF612" w:rsidR="00D97380" w:rsidRPr="002F54DC" w:rsidRDefault="00BC67E5" w:rsidP="00BC67E5">
            <w:pPr>
              <w:rPr>
                <w:rStyle w:val="Strong"/>
              </w:rPr>
            </w:pPr>
            <w:r w:rsidRPr="00BC67E5">
              <w:rPr>
                <w:rStyle w:val="Style2"/>
              </w:rPr>
              <w:t>Rebecca Bond</w:t>
            </w:r>
            <w:r>
              <w:rPr>
                <w:rStyle w:val="Style2"/>
              </w:rPr>
              <w:t xml:space="preserve">, </w:t>
            </w:r>
            <w:r w:rsidRPr="00BC67E5">
              <w:rPr>
                <w:rStyle w:val="Style2"/>
              </w:rPr>
              <w:t>Chief Pharmacist</w:t>
            </w:r>
            <w:r>
              <w:rPr>
                <w:rStyle w:val="Style2"/>
              </w:rPr>
              <w:t xml:space="preserve">, </w:t>
            </w:r>
            <w:r w:rsidRPr="00BC67E5">
              <w:rPr>
                <w:rStyle w:val="Style2"/>
              </w:rPr>
              <w:t>Divisional Director of Clinical Support Services</w:t>
            </w:r>
            <w:r>
              <w:rPr>
                <w:rStyle w:val="Style2"/>
              </w:rPr>
              <w:t xml:space="preserve">, </w:t>
            </w:r>
            <w:r w:rsidRPr="00BC67E5">
              <w:rPr>
                <w:rStyle w:val="Style2"/>
              </w:rPr>
              <w:t>Controlled Drugs Accountable Officer</w:t>
            </w:r>
            <w:r>
              <w:rPr>
                <w:rStyle w:val="Style2"/>
              </w:rPr>
              <w:t xml:space="preserve"> on behalf of Medicine Management and Safety Review committee</w:t>
            </w:r>
          </w:p>
        </w:tc>
      </w:tr>
      <w:tr w:rsidR="00D97380" w14:paraId="03D7F811" w14:textId="77777777" w:rsidTr="00804484">
        <w:tc>
          <w:tcPr>
            <w:tcW w:w="1564" w:type="pct"/>
          </w:tcPr>
          <w:p w14:paraId="7F5BB0B9" w14:textId="77777777" w:rsidR="00D97380" w:rsidRPr="00E8665D" w:rsidRDefault="00BD2E74" w:rsidP="007B738D">
            <w:pPr>
              <w:rPr>
                <w:rStyle w:val="Strong"/>
              </w:rPr>
            </w:pPr>
            <w:r>
              <w:rPr>
                <w:rStyle w:val="Strong"/>
              </w:rPr>
              <w:t>Approved</w:t>
            </w:r>
            <w:r w:rsidR="00D97380" w:rsidRPr="00E8665D">
              <w:rPr>
                <w:rStyle w:val="Strong"/>
              </w:rPr>
              <w:t xml:space="preserve"> Date:</w:t>
            </w:r>
          </w:p>
        </w:tc>
        <w:tc>
          <w:tcPr>
            <w:tcW w:w="3436" w:type="pct"/>
            <w:gridSpan w:val="5"/>
          </w:tcPr>
          <w:p w14:paraId="7B97A669" w14:textId="5ECB8C7E" w:rsidR="00D97380" w:rsidRPr="002F54DC" w:rsidRDefault="00AC1FEE" w:rsidP="007B738D">
            <w:pPr>
              <w:rPr>
                <w:rStyle w:val="Strong"/>
              </w:rPr>
            </w:pPr>
            <w:r>
              <w:rPr>
                <w:rStyle w:val="Style2"/>
              </w:rPr>
              <w:t>26/11/2024</w:t>
            </w:r>
          </w:p>
        </w:tc>
      </w:tr>
      <w:tr w:rsidR="00D97380" w14:paraId="2E5FEFC1" w14:textId="77777777" w:rsidTr="00804484">
        <w:tc>
          <w:tcPr>
            <w:tcW w:w="1564" w:type="pct"/>
          </w:tcPr>
          <w:p w14:paraId="0F5469A3" w14:textId="77777777" w:rsidR="00D97380" w:rsidRPr="00E8665D" w:rsidRDefault="00D97380" w:rsidP="007B738D">
            <w:pPr>
              <w:rPr>
                <w:rStyle w:val="Strong"/>
              </w:rPr>
            </w:pPr>
            <w:r w:rsidRPr="00115716">
              <w:rPr>
                <w:rStyle w:val="Strong"/>
              </w:rPr>
              <w:t>Issue Date:</w:t>
            </w:r>
          </w:p>
        </w:tc>
        <w:tc>
          <w:tcPr>
            <w:tcW w:w="3436" w:type="pct"/>
            <w:gridSpan w:val="5"/>
          </w:tcPr>
          <w:p w14:paraId="3465544D" w14:textId="7FEEDC9C" w:rsidR="00D97380" w:rsidRPr="002F54DC" w:rsidRDefault="00D93FA7" w:rsidP="007B738D">
            <w:pPr>
              <w:rPr>
                <w:rStyle w:val="Strong"/>
              </w:rPr>
            </w:pPr>
            <w:r>
              <w:rPr>
                <w:rStyle w:val="Style2"/>
              </w:rPr>
              <w:t>31/01/2025</w:t>
            </w:r>
          </w:p>
        </w:tc>
      </w:tr>
      <w:tr w:rsidR="00804484" w14:paraId="36E7E5E4" w14:textId="77777777" w:rsidTr="00804484">
        <w:tc>
          <w:tcPr>
            <w:tcW w:w="1564" w:type="pct"/>
          </w:tcPr>
          <w:p w14:paraId="317D9A87" w14:textId="77777777" w:rsidR="00804484" w:rsidRPr="00E8665D" w:rsidRDefault="00804484" w:rsidP="00804484">
            <w:pPr>
              <w:rPr>
                <w:rStyle w:val="Strong"/>
              </w:rPr>
            </w:pPr>
            <w:r w:rsidRPr="00115716">
              <w:rPr>
                <w:rStyle w:val="Strong"/>
              </w:rPr>
              <w:t>Review Date</w:t>
            </w:r>
            <w:r>
              <w:rPr>
                <w:rStyle w:val="Strong"/>
              </w:rPr>
              <w:t xml:space="preserve"> from Date of Approval</w:t>
            </w:r>
            <w:r w:rsidRPr="00115716">
              <w:rPr>
                <w:rStyle w:val="Strong"/>
              </w:rPr>
              <w:t>:</w:t>
            </w:r>
          </w:p>
        </w:tc>
        <w:tc>
          <w:tcPr>
            <w:tcW w:w="684" w:type="pct"/>
            <w:vAlign w:val="center"/>
          </w:tcPr>
          <w:p w14:paraId="4C060B4F" w14:textId="77777777" w:rsidR="00804484" w:rsidRPr="00FE29CD" w:rsidRDefault="00804484" w:rsidP="00804484">
            <w:pPr>
              <w:jc w:val="center"/>
              <w:rPr>
                <w:rStyle w:val="Strong"/>
                <w:b w:val="0"/>
                <w:bCs/>
              </w:rPr>
            </w:pPr>
            <w:r w:rsidRPr="00FE29CD">
              <w:rPr>
                <w:rStyle w:val="Strong"/>
                <w:b w:val="0"/>
                <w:bCs/>
              </w:rPr>
              <w:t>1 Year</w:t>
            </w:r>
          </w:p>
          <w:p w14:paraId="1EECC45F" w14:textId="64C3EDDF" w:rsidR="00804484" w:rsidRPr="002158B9" w:rsidRDefault="0067250F" w:rsidP="00804484">
            <w:pPr>
              <w:jc w:val="center"/>
            </w:pPr>
            <w:sdt>
              <w:sdtPr>
                <w:rPr>
                  <w:rStyle w:val="Style2"/>
                </w:rPr>
                <w:id w:val="1366106187"/>
                <w14:checkbox>
                  <w14:checked w14:val="0"/>
                  <w14:checkedState w14:val="2612" w14:font="MS Gothic"/>
                  <w14:uncheckedState w14:val="2610" w14:font="MS Gothic"/>
                </w14:checkbox>
              </w:sdtPr>
              <w:sdtEndPr>
                <w:rPr>
                  <w:rStyle w:val="Style2"/>
                </w:rPr>
              </w:sdtEndPr>
              <w:sdtContent>
                <w:r w:rsidR="00804484" w:rsidRPr="00F02C7D">
                  <w:rPr>
                    <w:rStyle w:val="Style2"/>
                    <w:rFonts w:eastAsia="MS Gothic" w:hint="eastAsia"/>
                  </w:rPr>
                  <w:t>☐</w:t>
                </w:r>
              </w:sdtContent>
            </w:sdt>
          </w:p>
          <w:p w14:paraId="337E6CA0" w14:textId="77777777" w:rsidR="00804484" w:rsidRDefault="00804484" w:rsidP="00804484">
            <w:pPr>
              <w:jc w:val="center"/>
              <w:rPr>
                <w:rStyle w:val="Strong"/>
                <w:b w:val="0"/>
              </w:rPr>
            </w:pPr>
          </w:p>
        </w:tc>
        <w:tc>
          <w:tcPr>
            <w:tcW w:w="688" w:type="pct"/>
            <w:vAlign w:val="center"/>
          </w:tcPr>
          <w:p w14:paraId="7C362ED9" w14:textId="77777777" w:rsidR="00804484" w:rsidRPr="00FE29CD" w:rsidRDefault="00804484" w:rsidP="00804484">
            <w:pPr>
              <w:jc w:val="center"/>
              <w:rPr>
                <w:rStyle w:val="Strong"/>
                <w:b w:val="0"/>
                <w:bCs/>
              </w:rPr>
            </w:pPr>
            <w:r w:rsidRPr="00FE29CD">
              <w:rPr>
                <w:rStyle w:val="Strong"/>
                <w:b w:val="0"/>
                <w:bCs/>
              </w:rPr>
              <w:t>2 Years</w:t>
            </w:r>
          </w:p>
          <w:sdt>
            <w:sdtPr>
              <w:rPr>
                <w:rStyle w:val="Style2"/>
              </w:rPr>
              <w:id w:val="-409534055"/>
              <w14:checkbox>
                <w14:checked w14:val="0"/>
                <w14:checkedState w14:val="2612" w14:font="MS Gothic"/>
                <w14:uncheckedState w14:val="2610" w14:font="MS Gothic"/>
              </w14:checkbox>
            </w:sdtPr>
            <w:sdtEndPr>
              <w:rPr>
                <w:rStyle w:val="Style2"/>
              </w:rPr>
            </w:sdtEndPr>
            <w:sdtContent>
              <w:p w14:paraId="45B03FD4" w14:textId="77777777" w:rsidR="00804484" w:rsidRPr="002158B9" w:rsidRDefault="00804484" w:rsidP="00804484">
                <w:pPr>
                  <w:jc w:val="center"/>
                </w:pPr>
                <w:r w:rsidRPr="00F02C7D">
                  <w:rPr>
                    <w:rStyle w:val="Style2"/>
                    <w:rFonts w:ascii="Segoe UI Symbol" w:eastAsia="MS Gothic" w:hAnsi="Segoe UI Symbol" w:cs="Segoe UI Symbol"/>
                  </w:rPr>
                  <w:t>☐</w:t>
                </w:r>
              </w:p>
            </w:sdtContent>
          </w:sdt>
          <w:p w14:paraId="0CD4FB52" w14:textId="77777777" w:rsidR="00804484" w:rsidRDefault="00804484" w:rsidP="00804484">
            <w:pPr>
              <w:jc w:val="center"/>
              <w:rPr>
                <w:rStyle w:val="Strong"/>
                <w:b w:val="0"/>
              </w:rPr>
            </w:pPr>
          </w:p>
        </w:tc>
        <w:tc>
          <w:tcPr>
            <w:tcW w:w="688" w:type="pct"/>
            <w:vAlign w:val="center"/>
          </w:tcPr>
          <w:p w14:paraId="158D91BE" w14:textId="77777777" w:rsidR="00804484" w:rsidRPr="00FE29CD" w:rsidRDefault="00804484" w:rsidP="00804484">
            <w:pPr>
              <w:jc w:val="center"/>
              <w:rPr>
                <w:rStyle w:val="Strong"/>
                <w:b w:val="0"/>
                <w:bCs/>
              </w:rPr>
            </w:pPr>
            <w:r w:rsidRPr="00FE29CD">
              <w:rPr>
                <w:rStyle w:val="Strong"/>
                <w:b w:val="0"/>
                <w:bCs/>
              </w:rPr>
              <w:t>3 Years</w:t>
            </w:r>
          </w:p>
          <w:sdt>
            <w:sdtPr>
              <w:rPr>
                <w:rStyle w:val="Style2"/>
              </w:rPr>
              <w:id w:val="1550101701"/>
              <w14:checkbox>
                <w14:checked w14:val="1"/>
                <w14:checkedState w14:val="2612" w14:font="MS Gothic"/>
                <w14:uncheckedState w14:val="2610" w14:font="MS Gothic"/>
              </w14:checkbox>
            </w:sdtPr>
            <w:sdtEndPr>
              <w:rPr>
                <w:rStyle w:val="Style2"/>
              </w:rPr>
            </w:sdtEndPr>
            <w:sdtContent>
              <w:p w14:paraId="731CE4D0" w14:textId="6C2B69CC" w:rsidR="00804484" w:rsidRPr="002158B9" w:rsidRDefault="00A61A3B" w:rsidP="00804484">
                <w:pPr>
                  <w:jc w:val="center"/>
                </w:pPr>
                <w:r>
                  <w:rPr>
                    <w:rStyle w:val="Style2"/>
                    <w:rFonts w:ascii="MS Gothic" w:eastAsia="MS Gothic" w:hAnsi="MS Gothic" w:hint="eastAsia"/>
                  </w:rPr>
                  <w:t>☒</w:t>
                </w:r>
              </w:p>
            </w:sdtContent>
          </w:sdt>
          <w:p w14:paraId="79C6A9CC" w14:textId="22AC6C98" w:rsidR="00804484" w:rsidRDefault="00AC1FEE" w:rsidP="00804484">
            <w:pPr>
              <w:jc w:val="center"/>
              <w:rPr>
                <w:rStyle w:val="Strong"/>
                <w:b w:val="0"/>
              </w:rPr>
            </w:pPr>
            <w:r>
              <w:rPr>
                <w:rStyle w:val="Strong"/>
                <w:b w:val="0"/>
              </w:rPr>
              <w:t>26/11/2027</w:t>
            </w:r>
          </w:p>
        </w:tc>
        <w:tc>
          <w:tcPr>
            <w:tcW w:w="688" w:type="pct"/>
            <w:vAlign w:val="center"/>
          </w:tcPr>
          <w:p w14:paraId="561747F0" w14:textId="77777777" w:rsidR="00804484" w:rsidRPr="00FE29CD" w:rsidRDefault="00804484" w:rsidP="00804484">
            <w:pPr>
              <w:jc w:val="center"/>
              <w:rPr>
                <w:rStyle w:val="Strong"/>
                <w:b w:val="0"/>
                <w:bCs/>
              </w:rPr>
            </w:pPr>
            <w:r w:rsidRPr="00FE29CD">
              <w:rPr>
                <w:rStyle w:val="Strong"/>
                <w:b w:val="0"/>
                <w:bCs/>
              </w:rPr>
              <w:t>4 Years</w:t>
            </w:r>
          </w:p>
          <w:sdt>
            <w:sdtPr>
              <w:rPr>
                <w:rStyle w:val="Style2"/>
              </w:rPr>
              <w:id w:val="731045937"/>
              <w14:checkbox>
                <w14:checked w14:val="0"/>
                <w14:checkedState w14:val="2612" w14:font="MS Gothic"/>
                <w14:uncheckedState w14:val="2610" w14:font="MS Gothic"/>
              </w14:checkbox>
            </w:sdtPr>
            <w:sdtEndPr>
              <w:rPr>
                <w:rStyle w:val="Style2"/>
              </w:rPr>
            </w:sdtEndPr>
            <w:sdtContent>
              <w:p w14:paraId="562FA996" w14:textId="77777777" w:rsidR="00804484" w:rsidRPr="002158B9" w:rsidRDefault="00804484" w:rsidP="00804484">
                <w:pPr>
                  <w:jc w:val="center"/>
                </w:pPr>
                <w:r w:rsidRPr="00F02C7D">
                  <w:rPr>
                    <w:rStyle w:val="Style2"/>
                    <w:rFonts w:eastAsia="MS Gothic" w:hint="eastAsia"/>
                  </w:rPr>
                  <w:t>☐</w:t>
                </w:r>
              </w:p>
            </w:sdtContent>
          </w:sdt>
          <w:p w14:paraId="27006B09" w14:textId="77777777" w:rsidR="00804484" w:rsidRDefault="00804484" w:rsidP="00804484">
            <w:pPr>
              <w:jc w:val="center"/>
              <w:rPr>
                <w:rStyle w:val="Strong"/>
                <w:b w:val="0"/>
              </w:rPr>
            </w:pPr>
          </w:p>
        </w:tc>
        <w:tc>
          <w:tcPr>
            <w:tcW w:w="688" w:type="pct"/>
            <w:vAlign w:val="center"/>
          </w:tcPr>
          <w:p w14:paraId="7D89D2CE" w14:textId="77777777" w:rsidR="00804484" w:rsidRPr="00FE29CD" w:rsidRDefault="00804484" w:rsidP="00804484">
            <w:pPr>
              <w:jc w:val="center"/>
              <w:rPr>
                <w:rStyle w:val="Strong"/>
                <w:b w:val="0"/>
                <w:bCs/>
              </w:rPr>
            </w:pPr>
            <w:r w:rsidRPr="00FE29CD">
              <w:rPr>
                <w:rStyle w:val="Strong"/>
                <w:b w:val="0"/>
                <w:bCs/>
              </w:rPr>
              <w:t>5 Years</w:t>
            </w:r>
          </w:p>
          <w:sdt>
            <w:sdtPr>
              <w:rPr>
                <w:rStyle w:val="Style2"/>
              </w:rPr>
              <w:id w:val="-263764776"/>
              <w14:checkbox>
                <w14:checked w14:val="0"/>
                <w14:checkedState w14:val="2612" w14:font="MS Gothic"/>
                <w14:uncheckedState w14:val="2610" w14:font="MS Gothic"/>
              </w14:checkbox>
            </w:sdtPr>
            <w:sdtEndPr>
              <w:rPr>
                <w:rStyle w:val="Style2"/>
              </w:rPr>
            </w:sdtEndPr>
            <w:sdtContent>
              <w:p w14:paraId="2B691795" w14:textId="77777777" w:rsidR="00804484" w:rsidRPr="002158B9" w:rsidRDefault="00804484" w:rsidP="00804484">
                <w:pPr>
                  <w:jc w:val="center"/>
                </w:pPr>
                <w:r w:rsidRPr="00F02C7D">
                  <w:rPr>
                    <w:rStyle w:val="Style2"/>
                    <w:rFonts w:eastAsia="MS Gothic" w:hint="eastAsia"/>
                  </w:rPr>
                  <w:t>☐</w:t>
                </w:r>
              </w:p>
            </w:sdtContent>
          </w:sdt>
          <w:p w14:paraId="7FBDFEE0" w14:textId="77777777" w:rsidR="00804484" w:rsidRDefault="00804484" w:rsidP="00804484">
            <w:pPr>
              <w:jc w:val="center"/>
              <w:rPr>
                <w:rStyle w:val="Strong"/>
                <w:b w:val="0"/>
              </w:rPr>
            </w:pPr>
          </w:p>
        </w:tc>
      </w:tr>
    </w:tbl>
    <w:p w14:paraId="796B21E2" w14:textId="77777777" w:rsidR="00DF0126" w:rsidRDefault="00DF0126" w:rsidP="00E8665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101"/>
        <w:gridCol w:w="1662"/>
        <w:gridCol w:w="5521"/>
      </w:tblGrid>
      <w:tr w:rsidR="00DF0126" w:rsidRPr="00995352" w14:paraId="7A98BC26" w14:textId="77777777" w:rsidTr="00804484">
        <w:trPr>
          <w:cantSplit/>
          <w:tblHeader/>
          <w:jc w:val="center"/>
        </w:trPr>
        <w:tc>
          <w:tcPr>
            <w:tcW w:w="5000" w:type="pct"/>
            <w:gridSpan w:val="4"/>
            <w:shd w:val="clear" w:color="auto" w:fill="BFBFBF" w:themeFill="background1" w:themeFillShade="BF"/>
          </w:tcPr>
          <w:p w14:paraId="1DFFD4F0" w14:textId="77777777" w:rsidR="00DF0126" w:rsidRPr="00995352" w:rsidRDefault="00DF0126" w:rsidP="00B57E52">
            <w:pPr>
              <w:pStyle w:val="AppendixYellow"/>
            </w:pPr>
            <w:bookmarkStart w:id="0" w:name="_Toc184021134"/>
            <w:r w:rsidRPr="000F7751">
              <w:t>Version Control Sheet</w:t>
            </w:r>
            <w:bookmarkEnd w:id="0"/>
          </w:p>
        </w:tc>
      </w:tr>
      <w:tr w:rsidR="00DF0126" w:rsidRPr="00DB608D" w14:paraId="7D01A6D1" w14:textId="77777777" w:rsidTr="00804484">
        <w:trPr>
          <w:jc w:val="center"/>
        </w:trPr>
        <w:tc>
          <w:tcPr>
            <w:tcW w:w="5000" w:type="pct"/>
            <w:gridSpan w:val="4"/>
          </w:tcPr>
          <w:p w14:paraId="5076EA26" w14:textId="77777777" w:rsidR="00DF0126" w:rsidRPr="00DB608D" w:rsidRDefault="00DF0126" w:rsidP="00B57E52">
            <w:pPr>
              <w:spacing w:before="120" w:after="120"/>
            </w:pPr>
            <w:r w:rsidRPr="0038067E">
              <w:t>This must be completed and form part of the document appendices each time the document is updated and approved</w:t>
            </w:r>
          </w:p>
        </w:tc>
      </w:tr>
      <w:tr w:rsidR="00DF0126" w:rsidRPr="0038067E" w14:paraId="73C7B3BA" w14:textId="77777777" w:rsidTr="001666E2">
        <w:trPr>
          <w:jc w:val="center"/>
        </w:trPr>
        <w:tc>
          <w:tcPr>
            <w:tcW w:w="698" w:type="pct"/>
            <w:vAlign w:val="center"/>
          </w:tcPr>
          <w:p w14:paraId="43699929" w14:textId="77777777" w:rsidR="00DF0126" w:rsidRPr="0038067E" w:rsidRDefault="00DF0126" w:rsidP="00B57E52">
            <w:pPr>
              <w:spacing w:before="120" w:after="120"/>
              <w:jc w:val="center"/>
              <w:rPr>
                <w:b/>
              </w:rPr>
            </w:pPr>
            <w:r w:rsidRPr="0038067E">
              <w:rPr>
                <w:b/>
              </w:rPr>
              <w:t>Date</w:t>
            </w:r>
            <w:r w:rsidRPr="0038067E">
              <w:rPr>
                <w:b/>
              </w:rPr>
              <w:br/>
              <w:t>dd/mm/yy</w:t>
            </w:r>
          </w:p>
        </w:tc>
        <w:tc>
          <w:tcPr>
            <w:tcW w:w="572" w:type="pct"/>
            <w:vAlign w:val="center"/>
          </w:tcPr>
          <w:p w14:paraId="45258FD6" w14:textId="77777777" w:rsidR="00DF0126" w:rsidRPr="0038067E" w:rsidRDefault="00DF0126" w:rsidP="00B57E52">
            <w:pPr>
              <w:spacing w:before="120" w:after="120"/>
              <w:jc w:val="center"/>
              <w:rPr>
                <w:b/>
              </w:rPr>
            </w:pPr>
            <w:r w:rsidRPr="0038067E">
              <w:rPr>
                <w:b/>
              </w:rPr>
              <w:t>Version</w:t>
            </w:r>
          </w:p>
        </w:tc>
        <w:tc>
          <w:tcPr>
            <w:tcW w:w="863" w:type="pct"/>
            <w:vAlign w:val="center"/>
          </w:tcPr>
          <w:p w14:paraId="4D0BEBB1" w14:textId="77777777" w:rsidR="00DF0126" w:rsidRPr="0038067E" w:rsidRDefault="00DF0126" w:rsidP="00B57E52">
            <w:pPr>
              <w:spacing w:before="120" w:after="120"/>
              <w:jc w:val="center"/>
              <w:rPr>
                <w:b/>
              </w:rPr>
            </w:pPr>
            <w:r w:rsidRPr="0038067E">
              <w:rPr>
                <w:b/>
              </w:rPr>
              <w:t>Author</w:t>
            </w:r>
          </w:p>
        </w:tc>
        <w:tc>
          <w:tcPr>
            <w:tcW w:w="2867" w:type="pct"/>
            <w:vAlign w:val="center"/>
          </w:tcPr>
          <w:p w14:paraId="5D5DD52B" w14:textId="77777777" w:rsidR="00DF0126" w:rsidRPr="0038067E" w:rsidRDefault="00DF0126" w:rsidP="00B57E52">
            <w:pPr>
              <w:spacing w:before="120" w:after="120"/>
              <w:jc w:val="center"/>
              <w:rPr>
                <w:b/>
              </w:rPr>
            </w:pPr>
            <w:r w:rsidRPr="0038067E">
              <w:rPr>
                <w:b/>
              </w:rPr>
              <w:t>Reason for changes</w:t>
            </w:r>
          </w:p>
        </w:tc>
      </w:tr>
      <w:tr w:rsidR="001666E2" w:rsidRPr="00DB608D" w14:paraId="501CF060" w14:textId="77777777" w:rsidTr="001666E2">
        <w:trPr>
          <w:jc w:val="center"/>
        </w:trPr>
        <w:tc>
          <w:tcPr>
            <w:tcW w:w="698" w:type="pct"/>
          </w:tcPr>
          <w:p w14:paraId="4F46CFFE" w14:textId="5C9AA712" w:rsidR="001666E2" w:rsidRPr="0038067E" w:rsidRDefault="001666E2" w:rsidP="002D1325">
            <w:pPr>
              <w:spacing w:before="120" w:after="120"/>
            </w:pPr>
            <w:r>
              <w:t>17/06/21</w:t>
            </w:r>
          </w:p>
        </w:tc>
        <w:tc>
          <w:tcPr>
            <w:tcW w:w="572" w:type="pct"/>
          </w:tcPr>
          <w:p w14:paraId="6AA632FD" w14:textId="3408526E" w:rsidR="001666E2" w:rsidRPr="0038067E" w:rsidRDefault="001666E2" w:rsidP="002D1325">
            <w:pPr>
              <w:spacing w:before="120" w:after="120"/>
            </w:pPr>
            <w:r>
              <w:t>4</w:t>
            </w:r>
          </w:p>
        </w:tc>
        <w:tc>
          <w:tcPr>
            <w:tcW w:w="863" w:type="pct"/>
            <w:vMerge w:val="restart"/>
          </w:tcPr>
          <w:p w14:paraId="04FF0D73" w14:textId="3E4F0739" w:rsidR="001666E2" w:rsidRPr="0038067E" w:rsidRDefault="001666E2" w:rsidP="002D1325">
            <w:pPr>
              <w:spacing w:before="120" w:after="120"/>
            </w:pPr>
            <w:r w:rsidRPr="00EB4801">
              <w:t>Jennifer Walters – Lead Pharmacist – Surgery</w:t>
            </w:r>
          </w:p>
        </w:tc>
        <w:tc>
          <w:tcPr>
            <w:tcW w:w="2867" w:type="pct"/>
          </w:tcPr>
          <w:p w14:paraId="78D4F78F" w14:textId="77777777" w:rsidR="001666E2" w:rsidRDefault="001666E2" w:rsidP="002D1325">
            <w:pPr>
              <w:spacing w:before="120" w:after="120"/>
            </w:pPr>
            <w:r>
              <w:t>New Template.</w:t>
            </w:r>
          </w:p>
          <w:p w14:paraId="47B399B8" w14:textId="1D2A31B2" w:rsidR="001666E2" w:rsidRPr="0038067E" w:rsidRDefault="001666E2" w:rsidP="002D1325">
            <w:pPr>
              <w:spacing w:before="120" w:after="120"/>
            </w:pPr>
            <w:r>
              <w:t>Additional recommendations on dosing in renal impairment.</w:t>
            </w:r>
          </w:p>
        </w:tc>
      </w:tr>
      <w:tr w:rsidR="001666E2" w:rsidRPr="00DB608D" w14:paraId="5ED49D2C" w14:textId="77777777" w:rsidTr="001666E2">
        <w:trPr>
          <w:jc w:val="center"/>
        </w:trPr>
        <w:tc>
          <w:tcPr>
            <w:tcW w:w="698" w:type="pct"/>
          </w:tcPr>
          <w:p w14:paraId="49E1B0CE" w14:textId="4BC3B1DB" w:rsidR="001666E2" w:rsidRPr="0038067E" w:rsidRDefault="001666E2" w:rsidP="00C81936">
            <w:pPr>
              <w:spacing w:before="120" w:after="120"/>
            </w:pPr>
            <w:r>
              <w:t>26/11/24</w:t>
            </w:r>
          </w:p>
        </w:tc>
        <w:tc>
          <w:tcPr>
            <w:tcW w:w="572" w:type="pct"/>
          </w:tcPr>
          <w:p w14:paraId="7248ADEB" w14:textId="3D863F61" w:rsidR="001666E2" w:rsidRPr="0038067E" w:rsidRDefault="001666E2" w:rsidP="00C81936">
            <w:pPr>
              <w:spacing w:before="120" w:after="120"/>
            </w:pPr>
            <w:r>
              <w:t>5</w:t>
            </w:r>
          </w:p>
        </w:tc>
        <w:tc>
          <w:tcPr>
            <w:tcW w:w="863" w:type="pct"/>
            <w:vMerge/>
          </w:tcPr>
          <w:p w14:paraId="6944FD77" w14:textId="11A8C80E" w:rsidR="001666E2" w:rsidRPr="0038067E" w:rsidRDefault="001666E2" w:rsidP="00C81936">
            <w:pPr>
              <w:spacing w:before="120" w:after="120"/>
            </w:pPr>
          </w:p>
        </w:tc>
        <w:tc>
          <w:tcPr>
            <w:tcW w:w="2867" w:type="pct"/>
          </w:tcPr>
          <w:p w14:paraId="6EC7D425" w14:textId="011E42E6" w:rsidR="001666E2" w:rsidRDefault="00021FB5" w:rsidP="00C81936">
            <w:pPr>
              <w:spacing w:before="120" w:after="120"/>
            </w:pPr>
            <w:r w:rsidRPr="00021FB5">
              <w:t>Dalteparin</w:t>
            </w:r>
            <w:r>
              <w:t xml:space="preserve"> </w:t>
            </w:r>
            <w:r w:rsidR="001666E2">
              <w:t xml:space="preserve">changed to </w:t>
            </w:r>
            <w:r w:rsidR="009C6DEF" w:rsidRPr="009C6DEF">
              <w:t>enoxaparin</w:t>
            </w:r>
          </w:p>
          <w:p w14:paraId="16BCAA0E" w14:textId="03228083" w:rsidR="001666E2" w:rsidRPr="0038067E" w:rsidRDefault="001666E2" w:rsidP="00C81936">
            <w:pPr>
              <w:spacing w:before="120" w:after="120"/>
            </w:pPr>
            <w:r>
              <w:t>Reversal of enoxaparin added</w:t>
            </w:r>
          </w:p>
        </w:tc>
      </w:tr>
      <w:tr w:rsidR="001666E2" w:rsidRPr="00DB608D" w14:paraId="399A71CD" w14:textId="77777777" w:rsidTr="001666E2">
        <w:trPr>
          <w:jc w:val="center"/>
        </w:trPr>
        <w:tc>
          <w:tcPr>
            <w:tcW w:w="698" w:type="pct"/>
          </w:tcPr>
          <w:p w14:paraId="61505FBB" w14:textId="708FE738" w:rsidR="001666E2" w:rsidRDefault="001666E2" w:rsidP="00C81936">
            <w:pPr>
              <w:spacing w:before="120" w:after="120"/>
            </w:pPr>
            <w:r>
              <w:t>31/01/25</w:t>
            </w:r>
          </w:p>
        </w:tc>
        <w:tc>
          <w:tcPr>
            <w:tcW w:w="572" w:type="pct"/>
          </w:tcPr>
          <w:p w14:paraId="63756BC3" w14:textId="1A08A5B5" w:rsidR="001666E2" w:rsidRDefault="001666E2" w:rsidP="00C81936">
            <w:pPr>
              <w:spacing w:before="120" w:after="120"/>
            </w:pPr>
            <w:r>
              <w:t>5.1</w:t>
            </w:r>
          </w:p>
        </w:tc>
        <w:tc>
          <w:tcPr>
            <w:tcW w:w="863" w:type="pct"/>
            <w:vMerge/>
          </w:tcPr>
          <w:p w14:paraId="2AB40816" w14:textId="77777777" w:rsidR="001666E2" w:rsidRPr="0038067E" w:rsidRDefault="001666E2" w:rsidP="00C81936">
            <w:pPr>
              <w:spacing w:before="120" w:after="120"/>
            </w:pPr>
          </w:p>
        </w:tc>
        <w:tc>
          <w:tcPr>
            <w:tcW w:w="2867" w:type="pct"/>
          </w:tcPr>
          <w:p w14:paraId="57A6EB37" w14:textId="649F18DB" w:rsidR="001666E2" w:rsidRDefault="00B3391B" w:rsidP="00C81936">
            <w:pPr>
              <w:spacing w:before="120" w:after="120"/>
            </w:pPr>
            <w:r w:rsidRPr="00B3391B">
              <w:t>Reference to dalteparin changed to enoxaparin</w:t>
            </w:r>
          </w:p>
        </w:tc>
      </w:tr>
    </w:tbl>
    <w:p w14:paraId="013E6620" w14:textId="77777777" w:rsidR="00DF0126" w:rsidRDefault="00DF0126" w:rsidP="00DF0126"/>
    <w:p w14:paraId="48125B87" w14:textId="77777777" w:rsidR="00A03F18" w:rsidRDefault="00A03F18">
      <w:bookmarkStart w:id="1" w:name="OLE_LINK6"/>
      <w:bookmarkStart w:id="2" w:name="OLE_LINK7"/>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908"/>
        <w:gridCol w:w="2168"/>
      </w:tblGrid>
      <w:tr w:rsidR="00DF0126" w:rsidRPr="00995352" w14:paraId="2D6F9D2F" w14:textId="77777777" w:rsidTr="00804484">
        <w:trPr>
          <w:cantSplit/>
          <w:tblHeader/>
          <w:jc w:val="center"/>
        </w:trPr>
        <w:tc>
          <w:tcPr>
            <w:tcW w:w="5000" w:type="pct"/>
            <w:gridSpan w:val="3"/>
            <w:shd w:val="clear" w:color="auto" w:fill="BFBFBF" w:themeFill="background1" w:themeFillShade="BF"/>
          </w:tcPr>
          <w:p w14:paraId="51E08588" w14:textId="0613FE60" w:rsidR="00DF0126" w:rsidRPr="00995352" w:rsidRDefault="00DF0126" w:rsidP="00616375">
            <w:pPr>
              <w:pStyle w:val="AppendixYellow"/>
            </w:pPr>
            <w:bookmarkStart w:id="3" w:name="_Toc184021135"/>
            <w:r w:rsidRPr="00995352">
              <w:lastRenderedPageBreak/>
              <w:t xml:space="preserve">Consultation / Acknowledgements with </w:t>
            </w:r>
            <w:r w:rsidR="00616375">
              <w:t>Stakeholders</w:t>
            </w:r>
            <w:bookmarkEnd w:id="3"/>
          </w:p>
        </w:tc>
      </w:tr>
      <w:tr w:rsidR="00DF0126" w:rsidRPr="00CF0412" w14:paraId="7BCD378B" w14:textId="77777777" w:rsidTr="00804484">
        <w:trPr>
          <w:cantSplit/>
          <w:tblHeader/>
          <w:jc w:val="center"/>
        </w:trPr>
        <w:tc>
          <w:tcPr>
            <w:tcW w:w="1325" w:type="pct"/>
            <w:vAlign w:val="center"/>
          </w:tcPr>
          <w:p w14:paraId="2DEDCCCC" w14:textId="77777777" w:rsidR="00DF0126" w:rsidRPr="00CF0412" w:rsidRDefault="00DF0126" w:rsidP="00B57E52">
            <w:pPr>
              <w:jc w:val="center"/>
              <w:rPr>
                <w:b/>
              </w:rPr>
            </w:pPr>
            <w:r w:rsidRPr="00CF0412">
              <w:rPr>
                <w:b/>
              </w:rPr>
              <w:t>Name</w:t>
            </w:r>
          </w:p>
        </w:tc>
        <w:tc>
          <w:tcPr>
            <w:tcW w:w="2549" w:type="pct"/>
            <w:vAlign w:val="center"/>
          </w:tcPr>
          <w:p w14:paraId="16D674D8" w14:textId="77777777" w:rsidR="00DF0126" w:rsidRPr="00CF0412" w:rsidRDefault="00DF0126" w:rsidP="00B57E52">
            <w:pPr>
              <w:jc w:val="center"/>
              <w:rPr>
                <w:b/>
              </w:rPr>
            </w:pPr>
            <w:r w:rsidRPr="00CF0412">
              <w:rPr>
                <w:b/>
              </w:rPr>
              <w:t>Designation</w:t>
            </w:r>
          </w:p>
        </w:tc>
        <w:tc>
          <w:tcPr>
            <w:tcW w:w="1126" w:type="pct"/>
            <w:vAlign w:val="center"/>
          </w:tcPr>
          <w:p w14:paraId="3C4D47EE" w14:textId="77777777" w:rsidR="00DF0126" w:rsidRPr="0076500D" w:rsidRDefault="00DF0126" w:rsidP="00B57E52">
            <w:pPr>
              <w:jc w:val="center"/>
              <w:rPr>
                <w:b/>
              </w:rPr>
            </w:pPr>
            <w:r w:rsidRPr="0076500D">
              <w:rPr>
                <w:b/>
              </w:rPr>
              <w:t>Date Response Received</w:t>
            </w:r>
          </w:p>
        </w:tc>
      </w:tr>
      <w:tr w:rsidR="00A03F18" w:rsidRPr="00DB608D" w14:paraId="4F15C17B" w14:textId="77777777" w:rsidTr="00804484">
        <w:trPr>
          <w:cantSplit/>
          <w:jc w:val="center"/>
        </w:trPr>
        <w:tc>
          <w:tcPr>
            <w:tcW w:w="1325" w:type="pct"/>
          </w:tcPr>
          <w:p w14:paraId="0AD8D7A5" w14:textId="598C75DF" w:rsidR="00A03F18" w:rsidRPr="008B0506" w:rsidRDefault="00A03F18" w:rsidP="00A03F18">
            <w:r>
              <w:t>Mr Shah</w:t>
            </w:r>
          </w:p>
        </w:tc>
        <w:tc>
          <w:tcPr>
            <w:tcW w:w="2549" w:type="pct"/>
          </w:tcPr>
          <w:p w14:paraId="3BD58A11" w14:textId="25A8EEC6" w:rsidR="00A03F18" w:rsidRPr="00DB608D" w:rsidRDefault="00A03F18" w:rsidP="00A03F18">
            <w:r>
              <w:t>Orthopaedic Consultant (Chair of VTE Committee)</w:t>
            </w:r>
          </w:p>
        </w:tc>
        <w:tc>
          <w:tcPr>
            <w:tcW w:w="1126" w:type="pct"/>
          </w:tcPr>
          <w:p w14:paraId="0A1E7FB4" w14:textId="5CDCF1E0" w:rsidR="00A03F18" w:rsidRPr="00DB608D" w:rsidRDefault="00A03F18" w:rsidP="00A03F18">
            <w:r>
              <w:t>18/7/24</w:t>
            </w:r>
          </w:p>
        </w:tc>
      </w:tr>
      <w:tr w:rsidR="00A03F18" w:rsidRPr="00DB608D" w14:paraId="39E3CE18" w14:textId="77777777" w:rsidTr="00804484">
        <w:trPr>
          <w:cantSplit/>
          <w:jc w:val="center"/>
        </w:trPr>
        <w:tc>
          <w:tcPr>
            <w:tcW w:w="1325" w:type="pct"/>
          </w:tcPr>
          <w:p w14:paraId="10AC6227" w14:textId="23381750" w:rsidR="00A03F18" w:rsidRPr="008B0506" w:rsidRDefault="00A03F18" w:rsidP="00A03F18">
            <w:r>
              <w:t>Noel Topping</w:t>
            </w:r>
          </w:p>
        </w:tc>
        <w:tc>
          <w:tcPr>
            <w:tcW w:w="2549" w:type="pct"/>
          </w:tcPr>
          <w:p w14:paraId="403E3D2C" w14:textId="39E311FC" w:rsidR="00A03F18" w:rsidRPr="00DB608D" w:rsidRDefault="00A03F18" w:rsidP="00A03F18">
            <w:r>
              <w:t>Lead Pharmacist Cardiology</w:t>
            </w:r>
          </w:p>
        </w:tc>
        <w:tc>
          <w:tcPr>
            <w:tcW w:w="1126" w:type="pct"/>
          </w:tcPr>
          <w:p w14:paraId="2EBD9402" w14:textId="5735B3AE" w:rsidR="00A03F18" w:rsidRPr="00DB608D" w:rsidRDefault="00A03F18" w:rsidP="00A03F18">
            <w:r>
              <w:t>28/6/24</w:t>
            </w:r>
          </w:p>
        </w:tc>
      </w:tr>
      <w:tr w:rsidR="00A03F18" w:rsidRPr="00DB608D" w14:paraId="128E75D9" w14:textId="77777777" w:rsidTr="00804484">
        <w:trPr>
          <w:cantSplit/>
          <w:jc w:val="center"/>
        </w:trPr>
        <w:tc>
          <w:tcPr>
            <w:tcW w:w="1325" w:type="pct"/>
          </w:tcPr>
          <w:p w14:paraId="5E5CA2DE" w14:textId="423B10D3" w:rsidR="00A03F18" w:rsidRPr="008B0506" w:rsidRDefault="00A03F18" w:rsidP="00A03F18">
            <w:r>
              <w:t>Alex Davies</w:t>
            </w:r>
          </w:p>
        </w:tc>
        <w:tc>
          <w:tcPr>
            <w:tcW w:w="2549" w:type="pct"/>
          </w:tcPr>
          <w:p w14:paraId="22E0F5DE" w14:textId="6F0136BB" w:rsidR="00A03F18" w:rsidRPr="00DB608D" w:rsidRDefault="00A03F18" w:rsidP="00A03F18">
            <w:r>
              <w:t>Lead Pharmacist Heamatology Oncology</w:t>
            </w:r>
          </w:p>
        </w:tc>
        <w:tc>
          <w:tcPr>
            <w:tcW w:w="1126" w:type="pct"/>
          </w:tcPr>
          <w:p w14:paraId="2B45099C" w14:textId="1C9D9A19" w:rsidR="00A03F18" w:rsidRPr="00DB608D" w:rsidRDefault="00A03F18" w:rsidP="00A03F18">
            <w:r>
              <w:t>2/7/24</w:t>
            </w:r>
          </w:p>
        </w:tc>
      </w:tr>
      <w:tr w:rsidR="00A03F18" w:rsidRPr="00DB608D" w14:paraId="0F875651" w14:textId="77777777" w:rsidTr="00804484">
        <w:trPr>
          <w:cantSplit/>
          <w:jc w:val="center"/>
        </w:trPr>
        <w:tc>
          <w:tcPr>
            <w:tcW w:w="1325" w:type="pct"/>
          </w:tcPr>
          <w:p w14:paraId="60F2181D" w14:textId="652D75CA" w:rsidR="00A03F18" w:rsidRPr="008B0506" w:rsidRDefault="00A03F18" w:rsidP="00A03F18">
            <w:r>
              <w:t>James Baker</w:t>
            </w:r>
          </w:p>
        </w:tc>
        <w:tc>
          <w:tcPr>
            <w:tcW w:w="2549" w:type="pct"/>
          </w:tcPr>
          <w:p w14:paraId="4293ED12" w14:textId="1C0CB5E1" w:rsidR="00A03F18" w:rsidRPr="00DB608D" w:rsidRDefault="00A03F18" w:rsidP="00A03F18">
            <w:r>
              <w:t>Assistant Director Pharmacy</w:t>
            </w:r>
          </w:p>
        </w:tc>
        <w:tc>
          <w:tcPr>
            <w:tcW w:w="1126" w:type="pct"/>
          </w:tcPr>
          <w:p w14:paraId="3FFAB1E4" w14:textId="2EAA3701" w:rsidR="00A03F18" w:rsidRPr="00DB608D" w:rsidRDefault="00A03F18" w:rsidP="00A03F18">
            <w:r>
              <w:t>27/6/24</w:t>
            </w:r>
          </w:p>
        </w:tc>
      </w:tr>
      <w:tr w:rsidR="00A03F18" w:rsidRPr="00DB608D" w14:paraId="2A706A39" w14:textId="77777777" w:rsidTr="00804484">
        <w:trPr>
          <w:cantSplit/>
          <w:jc w:val="center"/>
        </w:trPr>
        <w:tc>
          <w:tcPr>
            <w:tcW w:w="1325" w:type="pct"/>
          </w:tcPr>
          <w:p w14:paraId="23455B78" w14:textId="77777777" w:rsidR="00A03F18" w:rsidRPr="008B0506" w:rsidRDefault="00A03F18" w:rsidP="00A03F18"/>
        </w:tc>
        <w:tc>
          <w:tcPr>
            <w:tcW w:w="2549" w:type="pct"/>
          </w:tcPr>
          <w:p w14:paraId="36D2D06E" w14:textId="3DB7A33A" w:rsidR="00A03F18" w:rsidRPr="00DB608D" w:rsidRDefault="00A03F18" w:rsidP="00A03F18">
            <w:r>
              <w:t xml:space="preserve">VTE Pathways Implementation Group </w:t>
            </w:r>
            <w:r w:rsidR="00D01616">
              <w:t>(Chairs Action)</w:t>
            </w:r>
          </w:p>
        </w:tc>
        <w:tc>
          <w:tcPr>
            <w:tcW w:w="1126" w:type="pct"/>
          </w:tcPr>
          <w:p w14:paraId="5092CA86" w14:textId="2F63FBF9" w:rsidR="00A03F18" w:rsidRPr="00DB608D" w:rsidRDefault="00D01616" w:rsidP="00A03F18">
            <w:r>
              <w:t>22/11/2024</w:t>
            </w:r>
          </w:p>
        </w:tc>
      </w:tr>
      <w:bookmarkEnd w:id="1"/>
      <w:bookmarkEnd w:id="2"/>
    </w:tbl>
    <w:p w14:paraId="668CF4BD" w14:textId="77777777" w:rsidR="00A03F18" w:rsidRDefault="00A03F18" w:rsidP="00E8665D"/>
    <w:p w14:paraId="39D0C01E" w14:textId="77777777" w:rsidR="00A03F18" w:rsidRDefault="00A03F18" w:rsidP="00E8665D"/>
    <w:p w14:paraId="47F5E7C5" w14:textId="77777777" w:rsidR="00A03F18" w:rsidRDefault="00A03F18" w:rsidP="00E8665D"/>
    <w:p w14:paraId="31CF1059" w14:textId="77777777" w:rsidR="00A03F18" w:rsidRDefault="00A03F18" w:rsidP="00E8665D"/>
    <w:p w14:paraId="73663F7D" w14:textId="6FB2F5C1" w:rsidR="009311F3" w:rsidRPr="009311F3" w:rsidRDefault="009311F3" w:rsidP="00E8665D">
      <w:pPr>
        <w:rPr>
          <w:rStyle w:val="Strong"/>
        </w:rPr>
      </w:pPr>
      <w:r w:rsidRPr="009311F3">
        <w:rPr>
          <w:rStyle w:val="Strong"/>
        </w:rPr>
        <w:t>CONTENTS</w:t>
      </w:r>
    </w:p>
    <w:p w14:paraId="1817F19E" w14:textId="2A4F6C3E" w:rsidR="00F00B44" w:rsidRDefault="00CF74FF">
      <w:pPr>
        <w:pStyle w:val="TOC1"/>
        <w:rPr>
          <w:rFonts w:asciiTheme="minorHAnsi" w:eastAsiaTheme="minorEastAsia" w:hAnsiTheme="minorHAnsi" w:cstheme="minorBidi"/>
          <w:bCs w:val="0"/>
          <w:noProof/>
          <w:kern w:val="2"/>
          <w:sz w:val="22"/>
          <w:szCs w:val="22"/>
          <w:lang w:eastAsia="en-GB"/>
          <w14:ligatures w14:val="standardContextual"/>
        </w:rPr>
      </w:pPr>
      <w:r>
        <w:fldChar w:fldCharType="begin"/>
      </w:r>
      <w:r w:rsidR="00795C14">
        <w:instrText xml:space="preserve"> TOC \o "1-3" \h \z \t "Appendix Yellow,1" </w:instrText>
      </w:r>
      <w:r>
        <w:fldChar w:fldCharType="separate"/>
      </w:r>
      <w:hyperlink w:anchor="_Toc184021134" w:history="1">
        <w:r w:rsidR="00F00B44" w:rsidRPr="00F02F76">
          <w:rPr>
            <w:rStyle w:val="Hyperlink"/>
            <w:noProof/>
          </w:rPr>
          <w:t>Version Control Sheet</w:t>
        </w:r>
        <w:r w:rsidR="00F00B44">
          <w:rPr>
            <w:noProof/>
            <w:webHidden/>
          </w:rPr>
          <w:tab/>
        </w:r>
        <w:r w:rsidR="00F00B44">
          <w:rPr>
            <w:noProof/>
            <w:webHidden/>
          </w:rPr>
          <w:fldChar w:fldCharType="begin"/>
        </w:r>
        <w:r w:rsidR="00F00B44">
          <w:rPr>
            <w:noProof/>
            <w:webHidden/>
          </w:rPr>
          <w:instrText xml:space="preserve"> PAGEREF _Toc184021134 \h </w:instrText>
        </w:r>
        <w:r w:rsidR="00F00B44">
          <w:rPr>
            <w:noProof/>
            <w:webHidden/>
          </w:rPr>
        </w:r>
        <w:r w:rsidR="00F00B44">
          <w:rPr>
            <w:noProof/>
            <w:webHidden/>
          </w:rPr>
          <w:fldChar w:fldCharType="separate"/>
        </w:r>
        <w:r w:rsidR="00F00B44">
          <w:rPr>
            <w:noProof/>
            <w:webHidden/>
          </w:rPr>
          <w:t>1</w:t>
        </w:r>
        <w:r w:rsidR="00F00B44">
          <w:rPr>
            <w:noProof/>
            <w:webHidden/>
          </w:rPr>
          <w:fldChar w:fldCharType="end"/>
        </w:r>
      </w:hyperlink>
    </w:p>
    <w:p w14:paraId="699D004E" w14:textId="6F36639A"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35" w:history="1">
        <w:r w:rsidRPr="00F02F76">
          <w:rPr>
            <w:rStyle w:val="Hyperlink"/>
            <w:noProof/>
          </w:rPr>
          <w:t>Consultation / Acknowledgements with Stakeholders</w:t>
        </w:r>
        <w:r>
          <w:rPr>
            <w:noProof/>
            <w:webHidden/>
          </w:rPr>
          <w:tab/>
        </w:r>
        <w:r>
          <w:rPr>
            <w:noProof/>
            <w:webHidden/>
          </w:rPr>
          <w:fldChar w:fldCharType="begin"/>
        </w:r>
        <w:r>
          <w:rPr>
            <w:noProof/>
            <w:webHidden/>
          </w:rPr>
          <w:instrText xml:space="preserve"> PAGEREF _Toc184021135 \h </w:instrText>
        </w:r>
        <w:r>
          <w:rPr>
            <w:noProof/>
            <w:webHidden/>
          </w:rPr>
        </w:r>
        <w:r>
          <w:rPr>
            <w:noProof/>
            <w:webHidden/>
          </w:rPr>
          <w:fldChar w:fldCharType="separate"/>
        </w:r>
        <w:r>
          <w:rPr>
            <w:noProof/>
            <w:webHidden/>
          </w:rPr>
          <w:t>2</w:t>
        </w:r>
        <w:r>
          <w:rPr>
            <w:noProof/>
            <w:webHidden/>
          </w:rPr>
          <w:fldChar w:fldCharType="end"/>
        </w:r>
      </w:hyperlink>
    </w:p>
    <w:p w14:paraId="47219C3C" w14:textId="630625FC"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36" w:history="1">
        <w:r w:rsidRPr="00F02F76">
          <w:rPr>
            <w:rStyle w:val="Hyperlink"/>
            <w:noProof/>
          </w:rPr>
          <w:t>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Introduction / Purpose</w:t>
        </w:r>
        <w:r>
          <w:rPr>
            <w:noProof/>
            <w:webHidden/>
          </w:rPr>
          <w:tab/>
        </w:r>
        <w:r>
          <w:rPr>
            <w:noProof/>
            <w:webHidden/>
          </w:rPr>
          <w:fldChar w:fldCharType="begin"/>
        </w:r>
        <w:r>
          <w:rPr>
            <w:noProof/>
            <w:webHidden/>
          </w:rPr>
          <w:instrText xml:space="preserve"> PAGEREF _Toc184021136 \h </w:instrText>
        </w:r>
        <w:r>
          <w:rPr>
            <w:noProof/>
            <w:webHidden/>
          </w:rPr>
        </w:r>
        <w:r>
          <w:rPr>
            <w:noProof/>
            <w:webHidden/>
          </w:rPr>
          <w:fldChar w:fldCharType="separate"/>
        </w:r>
        <w:r>
          <w:rPr>
            <w:noProof/>
            <w:webHidden/>
          </w:rPr>
          <w:t>3</w:t>
        </w:r>
        <w:r>
          <w:rPr>
            <w:noProof/>
            <w:webHidden/>
          </w:rPr>
          <w:fldChar w:fldCharType="end"/>
        </w:r>
      </w:hyperlink>
    </w:p>
    <w:p w14:paraId="6F7372D9" w14:textId="0D21A758"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37" w:history="1">
        <w:r w:rsidRPr="00F02F76">
          <w:rPr>
            <w:rStyle w:val="Hyperlink"/>
            <w:noProof/>
          </w:rPr>
          <w:t>2</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General Principles / Target Audience</w:t>
        </w:r>
        <w:r>
          <w:rPr>
            <w:noProof/>
            <w:webHidden/>
          </w:rPr>
          <w:tab/>
        </w:r>
        <w:r>
          <w:rPr>
            <w:noProof/>
            <w:webHidden/>
          </w:rPr>
          <w:fldChar w:fldCharType="begin"/>
        </w:r>
        <w:r>
          <w:rPr>
            <w:noProof/>
            <w:webHidden/>
          </w:rPr>
          <w:instrText xml:space="preserve"> PAGEREF _Toc184021137 \h </w:instrText>
        </w:r>
        <w:r>
          <w:rPr>
            <w:noProof/>
            <w:webHidden/>
          </w:rPr>
        </w:r>
        <w:r>
          <w:rPr>
            <w:noProof/>
            <w:webHidden/>
          </w:rPr>
          <w:fldChar w:fldCharType="separate"/>
        </w:r>
        <w:r>
          <w:rPr>
            <w:noProof/>
            <w:webHidden/>
          </w:rPr>
          <w:t>3</w:t>
        </w:r>
        <w:r>
          <w:rPr>
            <w:noProof/>
            <w:webHidden/>
          </w:rPr>
          <w:fldChar w:fldCharType="end"/>
        </w:r>
      </w:hyperlink>
    </w:p>
    <w:p w14:paraId="3B09F2DB" w14:textId="64B0E7EF"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38" w:history="1">
        <w:r w:rsidRPr="00F02F76">
          <w:rPr>
            <w:rStyle w:val="Hyperlink"/>
            <w:noProof/>
          </w:rPr>
          <w:t>2.1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Exceptions - Children and Neonates</w:t>
        </w:r>
        <w:r>
          <w:rPr>
            <w:noProof/>
            <w:webHidden/>
          </w:rPr>
          <w:tab/>
        </w:r>
        <w:r>
          <w:rPr>
            <w:noProof/>
            <w:webHidden/>
          </w:rPr>
          <w:fldChar w:fldCharType="begin"/>
        </w:r>
        <w:r>
          <w:rPr>
            <w:noProof/>
            <w:webHidden/>
          </w:rPr>
          <w:instrText xml:space="preserve"> PAGEREF _Toc184021138 \h </w:instrText>
        </w:r>
        <w:r>
          <w:rPr>
            <w:noProof/>
            <w:webHidden/>
          </w:rPr>
        </w:r>
        <w:r>
          <w:rPr>
            <w:noProof/>
            <w:webHidden/>
          </w:rPr>
          <w:fldChar w:fldCharType="separate"/>
        </w:r>
        <w:r>
          <w:rPr>
            <w:noProof/>
            <w:webHidden/>
          </w:rPr>
          <w:t>3</w:t>
        </w:r>
        <w:r>
          <w:rPr>
            <w:noProof/>
            <w:webHidden/>
          </w:rPr>
          <w:fldChar w:fldCharType="end"/>
        </w:r>
      </w:hyperlink>
    </w:p>
    <w:p w14:paraId="07B69780" w14:textId="46836C33"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39" w:history="1">
        <w:r w:rsidRPr="00F02F76">
          <w:rPr>
            <w:rStyle w:val="Hyperlink"/>
            <w:noProof/>
          </w:rPr>
          <w:t>2.2</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Exceptions – Pregnancy</w:t>
        </w:r>
        <w:r>
          <w:rPr>
            <w:noProof/>
            <w:webHidden/>
          </w:rPr>
          <w:tab/>
        </w:r>
        <w:r>
          <w:rPr>
            <w:noProof/>
            <w:webHidden/>
          </w:rPr>
          <w:fldChar w:fldCharType="begin"/>
        </w:r>
        <w:r>
          <w:rPr>
            <w:noProof/>
            <w:webHidden/>
          </w:rPr>
          <w:instrText xml:space="preserve"> PAGEREF _Toc184021139 \h </w:instrText>
        </w:r>
        <w:r>
          <w:rPr>
            <w:noProof/>
            <w:webHidden/>
          </w:rPr>
        </w:r>
        <w:r>
          <w:rPr>
            <w:noProof/>
            <w:webHidden/>
          </w:rPr>
          <w:fldChar w:fldCharType="separate"/>
        </w:r>
        <w:r>
          <w:rPr>
            <w:noProof/>
            <w:webHidden/>
          </w:rPr>
          <w:t>3</w:t>
        </w:r>
        <w:r>
          <w:rPr>
            <w:noProof/>
            <w:webHidden/>
          </w:rPr>
          <w:fldChar w:fldCharType="end"/>
        </w:r>
      </w:hyperlink>
    </w:p>
    <w:p w14:paraId="02DEB81C" w14:textId="55E806B8"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40" w:history="1">
        <w:r w:rsidRPr="00F02F76">
          <w:rPr>
            <w:rStyle w:val="Hyperlink"/>
            <w:noProof/>
          </w:rPr>
          <w:t>3</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Definitions and Abbreviations</w:t>
        </w:r>
        <w:r>
          <w:rPr>
            <w:noProof/>
            <w:webHidden/>
          </w:rPr>
          <w:tab/>
        </w:r>
        <w:r>
          <w:rPr>
            <w:noProof/>
            <w:webHidden/>
          </w:rPr>
          <w:fldChar w:fldCharType="begin"/>
        </w:r>
        <w:r>
          <w:rPr>
            <w:noProof/>
            <w:webHidden/>
          </w:rPr>
          <w:instrText xml:space="preserve"> PAGEREF _Toc184021140 \h </w:instrText>
        </w:r>
        <w:r>
          <w:rPr>
            <w:noProof/>
            <w:webHidden/>
          </w:rPr>
        </w:r>
        <w:r>
          <w:rPr>
            <w:noProof/>
            <w:webHidden/>
          </w:rPr>
          <w:fldChar w:fldCharType="separate"/>
        </w:r>
        <w:r>
          <w:rPr>
            <w:noProof/>
            <w:webHidden/>
          </w:rPr>
          <w:t>3</w:t>
        </w:r>
        <w:r>
          <w:rPr>
            <w:noProof/>
            <w:webHidden/>
          </w:rPr>
          <w:fldChar w:fldCharType="end"/>
        </w:r>
      </w:hyperlink>
    </w:p>
    <w:p w14:paraId="3549BCE6" w14:textId="5AB26677"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41" w:history="1">
        <w:r w:rsidRPr="00F02F76">
          <w:rPr>
            <w:rStyle w:val="Hyperlink"/>
            <w:noProof/>
          </w:rPr>
          <w:t>4</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Background</w:t>
        </w:r>
        <w:r>
          <w:rPr>
            <w:noProof/>
            <w:webHidden/>
          </w:rPr>
          <w:tab/>
        </w:r>
        <w:r>
          <w:rPr>
            <w:noProof/>
            <w:webHidden/>
          </w:rPr>
          <w:fldChar w:fldCharType="begin"/>
        </w:r>
        <w:r>
          <w:rPr>
            <w:noProof/>
            <w:webHidden/>
          </w:rPr>
          <w:instrText xml:space="preserve"> PAGEREF _Toc184021141 \h </w:instrText>
        </w:r>
        <w:r>
          <w:rPr>
            <w:noProof/>
            <w:webHidden/>
          </w:rPr>
        </w:r>
        <w:r>
          <w:rPr>
            <w:noProof/>
            <w:webHidden/>
          </w:rPr>
          <w:fldChar w:fldCharType="separate"/>
        </w:r>
        <w:r>
          <w:rPr>
            <w:noProof/>
            <w:webHidden/>
          </w:rPr>
          <w:t>4</w:t>
        </w:r>
        <w:r>
          <w:rPr>
            <w:noProof/>
            <w:webHidden/>
          </w:rPr>
          <w:fldChar w:fldCharType="end"/>
        </w:r>
      </w:hyperlink>
    </w:p>
    <w:p w14:paraId="68E09C45" w14:textId="77A72CE6"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42" w:history="1">
        <w:r w:rsidRPr="00F02F76">
          <w:rPr>
            <w:rStyle w:val="Hyperlink"/>
            <w:noProof/>
          </w:rPr>
          <w:t>4.1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Drug Information</w:t>
        </w:r>
        <w:r>
          <w:rPr>
            <w:noProof/>
            <w:webHidden/>
          </w:rPr>
          <w:tab/>
        </w:r>
        <w:r>
          <w:rPr>
            <w:noProof/>
            <w:webHidden/>
          </w:rPr>
          <w:fldChar w:fldCharType="begin"/>
        </w:r>
        <w:r>
          <w:rPr>
            <w:noProof/>
            <w:webHidden/>
          </w:rPr>
          <w:instrText xml:space="preserve"> PAGEREF _Toc184021142 \h </w:instrText>
        </w:r>
        <w:r>
          <w:rPr>
            <w:noProof/>
            <w:webHidden/>
          </w:rPr>
        </w:r>
        <w:r>
          <w:rPr>
            <w:noProof/>
            <w:webHidden/>
          </w:rPr>
          <w:fldChar w:fldCharType="separate"/>
        </w:r>
        <w:r>
          <w:rPr>
            <w:noProof/>
            <w:webHidden/>
          </w:rPr>
          <w:t>4</w:t>
        </w:r>
        <w:r>
          <w:rPr>
            <w:noProof/>
            <w:webHidden/>
          </w:rPr>
          <w:fldChar w:fldCharType="end"/>
        </w:r>
      </w:hyperlink>
    </w:p>
    <w:p w14:paraId="0BD7F64F" w14:textId="3FD71375"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43" w:history="1">
        <w:r w:rsidRPr="00F02F76">
          <w:rPr>
            <w:rStyle w:val="Hyperlink"/>
            <w:noProof/>
          </w:rPr>
          <w:t>5</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Responsibilities (Ownership and Accountability)</w:t>
        </w:r>
        <w:r>
          <w:rPr>
            <w:noProof/>
            <w:webHidden/>
          </w:rPr>
          <w:tab/>
        </w:r>
        <w:r>
          <w:rPr>
            <w:noProof/>
            <w:webHidden/>
          </w:rPr>
          <w:fldChar w:fldCharType="begin"/>
        </w:r>
        <w:r>
          <w:rPr>
            <w:noProof/>
            <w:webHidden/>
          </w:rPr>
          <w:instrText xml:space="preserve"> PAGEREF _Toc184021143 \h </w:instrText>
        </w:r>
        <w:r>
          <w:rPr>
            <w:noProof/>
            <w:webHidden/>
          </w:rPr>
        </w:r>
        <w:r>
          <w:rPr>
            <w:noProof/>
            <w:webHidden/>
          </w:rPr>
          <w:fldChar w:fldCharType="separate"/>
        </w:r>
        <w:r>
          <w:rPr>
            <w:noProof/>
            <w:webHidden/>
          </w:rPr>
          <w:t>5</w:t>
        </w:r>
        <w:r>
          <w:rPr>
            <w:noProof/>
            <w:webHidden/>
          </w:rPr>
          <w:fldChar w:fldCharType="end"/>
        </w:r>
      </w:hyperlink>
    </w:p>
    <w:p w14:paraId="7710F61C" w14:textId="39330CF9"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44" w:history="1">
        <w:r w:rsidRPr="00F02F76">
          <w:rPr>
            <w:rStyle w:val="Hyperlink"/>
            <w:noProof/>
          </w:rPr>
          <w:t>5.1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Directorate Manager’s / Head of Services Responsibility</w:t>
        </w:r>
        <w:r>
          <w:rPr>
            <w:noProof/>
            <w:webHidden/>
          </w:rPr>
          <w:tab/>
        </w:r>
        <w:r>
          <w:rPr>
            <w:noProof/>
            <w:webHidden/>
          </w:rPr>
          <w:fldChar w:fldCharType="begin"/>
        </w:r>
        <w:r>
          <w:rPr>
            <w:noProof/>
            <w:webHidden/>
          </w:rPr>
          <w:instrText xml:space="preserve"> PAGEREF _Toc184021144 \h </w:instrText>
        </w:r>
        <w:r>
          <w:rPr>
            <w:noProof/>
            <w:webHidden/>
          </w:rPr>
        </w:r>
        <w:r>
          <w:rPr>
            <w:noProof/>
            <w:webHidden/>
          </w:rPr>
          <w:fldChar w:fldCharType="separate"/>
        </w:r>
        <w:r>
          <w:rPr>
            <w:noProof/>
            <w:webHidden/>
          </w:rPr>
          <w:t>5</w:t>
        </w:r>
        <w:r>
          <w:rPr>
            <w:noProof/>
            <w:webHidden/>
          </w:rPr>
          <w:fldChar w:fldCharType="end"/>
        </w:r>
      </w:hyperlink>
    </w:p>
    <w:p w14:paraId="60BE7FF7" w14:textId="0617EF94"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45" w:history="1">
        <w:r w:rsidRPr="00F02F76">
          <w:rPr>
            <w:rStyle w:val="Hyperlink"/>
            <w:noProof/>
          </w:rPr>
          <w:t>5.2</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Prescriber’s Responsibility</w:t>
        </w:r>
        <w:r>
          <w:rPr>
            <w:noProof/>
            <w:webHidden/>
          </w:rPr>
          <w:tab/>
        </w:r>
        <w:r>
          <w:rPr>
            <w:noProof/>
            <w:webHidden/>
          </w:rPr>
          <w:fldChar w:fldCharType="begin"/>
        </w:r>
        <w:r>
          <w:rPr>
            <w:noProof/>
            <w:webHidden/>
          </w:rPr>
          <w:instrText xml:space="preserve"> PAGEREF _Toc184021145 \h </w:instrText>
        </w:r>
        <w:r>
          <w:rPr>
            <w:noProof/>
            <w:webHidden/>
          </w:rPr>
        </w:r>
        <w:r>
          <w:rPr>
            <w:noProof/>
            <w:webHidden/>
          </w:rPr>
          <w:fldChar w:fldCharType="separate"/>
        </w:r>
        <w:r>
          <w:rPr>
            <w:noProof/>
            <w:webHidden/>
          </w:rPr>
          <w:t>5</w:t>
        </w:r>
        <w:r>
          <w:rPr>
            <w:noProof/>
            <w:webHidden/>
          </w:rPr>
          <w:fldChar w:fldCharType="end"/>
        </w:r>
      </w:hyperlink>
    </w:p>
    <w:p w14:paraId="074000DF" w14:textId="080AC4FD"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46" w:history="1">
        <w:r w:rsidRPr="00F02F76">
          <w:rPr>
            <w:rStyle w:val="Hyperlink"/>
            <w:noProof/>
          </w:rPr>
          <w:t>5.3</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Pharmacy Responsibility</w:t>
        </w:r>
        <w:r>
          <w:rPr>
            <w:noProof/>
            <w:webHidden/>
          </w:rPr>
          <w:tab/>
        </w:r>
        <w:r>
          <w:rPr>
            <w:noProof/>
            <w:webHidden/>
          </w:rPr>
          <w:fldChar w:fldCharType="begin"/>
        </w:r>
        <w:r>
          <w:rPr>
            <w:noProof/>
            <w:webHidden/>
          </w:rPr>
          <w:instrText xml:space="preserve"> PAGEREF _Toc184021146 \h </w:instrText>
        </w:r>
        <w:r>
          <w:rPr>
            <w:noProof/>
            <w:webHidden/>
          </w:rPr>
        </w:r>
        <w:r>
          <w:rPr>
            <w:noProof/>
            <w:webHidden/>
          </w:rPr>
          <w:fldChar w:fldCharType="separate"/>
        </w:r>
        <w:r>
          <w:rPr>
            <w:noProof/>
            <w:webHidden/>
          </w:rPr>
          <w:t>6</w:t>
        </w:r>
        <w:r>
          <w:rPr>
            <w:noProof/>
            <w:webHidden/>
          </w:rPr>
          <w:fldChar w:fldCharType="end"/>
        </w:r>
      </w:hyperlink>
    </w:p>
    <w:p w14:paraId="3D6E3232" w14:textId="376F20BE"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47" w:history="1">
        <w:r w:rsidRPr="00F02F76">
          <w:rPr>
            <w:rStyle w:val="Hyperlink"/>
            <w:noProof/>
          </w:rPr>
          <w:t>5.4</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Hospital Nursing Staff Responsibility</w:t>
        </w:r>
        <w:r>
          <w:rPr>
            <w:noProof/>
            <w:webHidden/>
          </w:rPr>
          <w:tab/>
        </w:r>
        <w:r>
          <w:rPr>
            <w:noProof/>
            <w:webHidden/>
          </w:rPr>
          <w:fldChar w:fldCharType="begin"/>
        </w:r>
        <w:r>
          <w:rPr>
            <w:noProof/>
            <w:webHidden/>
          </w:rPr>
          <w:instrText xml:space="preserve"> PAGEREF _Toc184021147 \h </w:instrText>
        </w:r>
        <w:r>
          <w:rPr>
            <w:noProof/>
            <w:webHidden/>
          </w:rPr>
        </w:r>
        <w:r>
          <w:rPr>
            <w:noProof/>
            <w:webHidden/>
          </w:rPr>
          <w:fldChar w:fldCharType="separate"/>
        </w:r>
        <w:r>
          <w:rPr>
            <w:noProof/>
            <w:webHidden/>
          </w:rPr>
          <w:t>6</w:t>
        </w:r>
        <w:r>
          <w:rPr>
            <w:noProof/>
            <w:webHidden/>
          </w:rPr>
          <w:fldChar w:fldCharType="end"/>
        </w:r>
      </w:hyperlink>
    </w:p>
    <w:p w14:paraId="47887112" w14:textId="279952D3"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48" w:history="1">
        <w:r w:rsidRPr="00F02F76">
          <w:rPr>
            <w:rStyle w:val="Hyperlink"/>
            <w:noProof/>
          </w:rPr>
          <w:t>6</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Procedure</w:t>
        </w:r>
        <w:r>
          <w:rPr>
            <w:noProof/>
            <w:webHidden/>
          </w:rPr>
          <w:tab/>
        </w:r>
        <w:r>
          <w:rPr>
            <w:noProof/>
            <w:webHidden/>
          </w:rPr>
          <w:fldChar w:fldCharType="begin"/>
        </w:r>
        <w:r>
          <w:rPr>
            <w:noProof/>
            <w:webHidden/>
          </w:rPr>
          <w:instrText xml:space="preserve"> PAGEREF _Toc184021148 \h </w:instrText>
        </w:r>
        <w:r>
          <w:rPr>
            <w:noProof/>
            <w:webHidden/>
          </w:rPr>
        </w:r>
        <w:r>
          <w:rPr>
            <w:noProof/>
            <w:webHidden/>
          </w:rPr>
          <w:fldChar w:fldCharType="separate"/>
        </w:r>
        <w:r>
          <w:rPr>
            <w:noProof/>
            <w:webHidden/>
          </w:rPr>
          <w:t>8</w:t>
        </w:r>
        <w:r>
          <w:rPr>
            <w:noProof/>
            <w:webHidden/>
          </w:rPr>
          <w:fldChar w:fldCharType="end"/>
        </w:r>
      </w:hyperlink>
    </w:p>
    <w:p w14:paraId="58668F43" w14:textId="303CDDF1"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49" w:history="1">
        <w:r w:rsidRPr="00F02F76">
          <w:rPr>
            <w:rStyle w:val="Hyperlink"/>
            <w:noProof/>
          </w:rPr>
          <w:t>6.1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Heparin Induced Thrombocytopenia (HIT)</w:t>
        </w:r>
        <w:r>
          <w:rPr>
            <w:noProof/>
            <w:webHidden/>
          </w:rPr>
          <w:tab/>
        </w:r>
        <w:r>
          <w:rPr>
            <w:noProof/>
            <w:webHidden/>
          </w:rPr>
          <w:fldChar w:fldCharType="begin"/>
        </w:r>
        <w:r>
          <w:rPr>
            <w:noProof/>
            <w:webHidden/>
          </w:rPr>
          <w:instrText xml:space="preserve"> PAGEREF _Toc184021149 \h </w:instrText>
        </w:r>
        <w:r>
          <w:rPr>
            <w:noProof/>
            <w:webHidden/>
          </w:rPr>
        </w:r>
        <w:r>
          <w:rPr>
            <w:noProof/>
            <w:webHidden/>
          </w:rPr>
          <w:fldChar w:fldCharType="separate"/>
        </w:r>
        <w:r>
          <w:rPr>
            <w:noProof/>
            <w:webHidden/>
          </w:rPr>
          <w:t>8</w:t>
        </w:r>
        <w:r>
          <w:rPr>
            <w:noProof/>
            <w:webHidden/>
          </w:rPr>
          <w:fldChar w:fldCharType="end"/>
        </w:r>
      </w:hyperlink>
    </w:p>
    <w:p w14:paraId="7192E15E" w14:textId="37EA090A" w:rsidR="00F00B44" w:rsidRDefault="00F00B44">
      <w:pPr>
        <w:pStyle w:val="TOC3"/>
        <w:rPr>
          <w:rFonts w:asciiTheme="minorHAnsi" w:eastAsiaTheme="minorEastAsia" w:hAnsiTheme="minorHAnsi" w:cstheme="minorBidi"/>
          <w:bCs w:val="0"/>
          <w:noProof/>
          <w:kern w:val="2"/>
          <w:sz w:val="22"/>
          <w:szCs w:val="22"/>
          <w:lang w:eastAsia="en-GB"/>
          <w14:ligatures w14:val="standardContextual"/>
        </w:rPr>
      </w:pPr>
      <w:hyperlink w:anchor="_Toc184021150" w:history="1">
        <w:r w:rsidRPr="00F02F76">
          <w:rPr>
            <w:rStyle w:val="Hyperlink"/>
            <w:noProof/>
          </w:rPr>
          <w:t>6.1.1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Guidelines on the diagnosis of HIT can be found on the BCSH website:</w:t>
        </w:r>
        <w:r>
          <w:rPr>
            <w:noProof/>
            <w:webHidden/>
          </w:rPr>
          <w:tab/>
        </w:r>
        <w:r>
          <w:rPr>
            <w:noProof/>
            <w:webHidden/>
          </w:rPr>
          <w:fldChar w:fldCharType="begin"/>
        </w:r>
        <w:r>
          <w:rPr>
            <w:noProof/>
            <w:webHidden/>
          </w:rPr>
          <w:instrText xml:space="preserve"> PAGEREF _Toc184021150 \h </w:instrText>
        </w:r>
        <w:r>
          <w:rPr>
            <w:noProof/>
            <w:webHidden/>
          </w:rPr>
        </w:r>
        <w:r>
          <w:rPr>
            <w:noProof/>
            <w:webHidden/>
          </w:rPr>
          <w:fldChar w:fldCharType="separate"/>
        </w:r>
        <w:r>
          <w:rPr>
            <w:noProof/>
            <w:webHidden/>
          </w:rPr>
          <w:t>8</w:t>
        </w:r>
        <w:r>
          <w:rPr>
            <w:noProof/>
            <w:webHidden/>
          </w:rPr>
          <w:fldChar w:fldCharType="end"/>
        </w:r>
      </w:hyperlink>
    </w:p>
    <w:p w14:paraId="2ADCBFCC" w14:textId="7306ABFF"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1" w:history="1">
        <w:r w:rsidRPr="00F02F76">
          <w:rPr>
            <w:rStyle w:val="Hyperlink"/>
            <w:noProof/>
          </w:rPr>
          <w:t>6.2</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Hyperkalaemia</w:t>
        </w:r>
        <w:r>
          <w:rPr>
            <w:noProof/>
            <w:webHidden/>
          </w:rPr>
          <w:tab/>
        </w:r>
        <w:r>
          <w:rPr>
            <w:noProof/>
            <w:webHidden/>
          </w:rPr>
          <w:fldChar w:fldCharType="begin"/>
        </w:r>
        <w:r>
          <w:rPr>
            <w:noProof/>
            <w:webHidden/>
          </w:rPr>
          <w:instrText xml:space="preserve"> PAGEREF _Toc184021151 \h </w:instrText>
        </w:r>
        <w:r>
          <w:rPr>
            <w:noProof/>
            <w:webHidden/>
          </w:rPr>
        </w:r>
        <w:r>
          <w:rPr>
            <w:noProof/>
            <w:webHidden/>
          </w:rPr>
          <w:fldChar w:fldCharType="separate"/>
        </w:r>
        <w:r>
          <w:rPr>
            <w:noProof/>
            <w:webHidden/>
          </w:rPr>
          <w:t>8</w:t>
        </w:r>
        <w:r>
          <w:rPr>
            <w:noProof/>
            <w:webHidden/>
          </w:rPr>
          <w:fldChar w:fldCharType="end"/>
        </w:r>
      </w:hyperlink>
    </w:p>
    <w:p w14:paraId="71B6B745" w14:textId="451C7403"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2" w:history="1">
        <w:r w:rsidRPr="00F02F76">
          <w:rPr>
            <w:rStyle w:val="Hyperlink"/>
            <w:noProof/>
          </w:rPr>
          <w:t>6.3</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Intramuscular Injections</w:t>
        </w:r>
        <w:r>
          <w:rPr>
            <w:noProof/>
            <w:webHidden/>
          </w:rPr>
          <w:tab/>
        </w:r>
        <w:r>
          <w:rPr>
            <w:noProof/>
            <w:webHidden/>
          </w:rPr>
          <w:fldChar w:fldCharType="begin"/>
        </w:r>
        <w:r>
          <w:rPr>
            <w:noProof/>
            <w:webHidden/>
          </w:rPr>
          <w:instrText xml:space="preserve"> PAGEREF _Toc184021152 \h </w:instrText>
        </w:r>
        <w:r>
          <w:rPr>
            <w:noProof/>
            <w:webHidden/>
          </w:rPr>
        </w:r>
        <w:r>
          <w:rPr>
            <w:noProof/>
            <w:webHidden/>
          </w:rPr>
          <w:fldChar w:fldCharType="separate"/>
        </w:r>
        <w:r>
          <w:rPr>
            <w:noProof/>
            <w:webHidden/>
          </w:rPr>
          <w:t>8</w:t>
        </w:r>
        <w:r>
          <w:rPr>
            <w:noProof/>
            <w:webHidden/>
          </w:rPr>
          <w:fldChar w:fldCharType="end"/>
        </w:r>
      </w:hyperlink>
    </w:p>
    <w:p w14:paraId="09A1BAD2" w14:textId="18B9E936"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3" w:history="1">
        <w:r w:rsidRPr="00F02F76">
          <w:rPr>
            <w:rStyle w:val="Hyperlink"/>
            <w:noProof/>
          </w:rPr>
          <w:t>6.4</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Enoxaparin - Dose is dependent on the patient’s weight</w:t>
        </w:r>
        <w:r>
          <w:rPr>
            <w:noProof/>
            <w:webHidden/>
          </w:rPr>
          <w:tab/>
        </w:r>
        <w:r>
          <w:rPr>
            <w:noProof/>
            <w:webHidden/>
          </w:rPr>
          <w:fldChar w:fldCharType="begin"/>
        </w:r>
        <w:r>
          <w:rPr>
            <w:noProof/>
            <w:webHidden/>
          </w:rPr>
          <w:instrText xml:space="preserve"> PAGEREF _Toc184021153 \h </w:instrText>
        </w:r>
        <w:r>
          <w:rPr>
            <w:noProof/>
            <w:webHidden/>
          </w:rPr>
        </w:r>
        <w:r>
          <w:rPr>
            <w:noProof/>
            <w:webHidden/>
          </w:rPr>
          <w:fldChar w:fldCharType="separate"/>
        </w:r>
        <w:r>
          <w:rPr>
            <w:noProof/>
            <w:webHidden/>
          </w:rPr>
          <w:t>8</w:t>
        </w:r>
        <w:r>
          <w:rPr>
            <w:noProof/>
            <w:webHidden/>
          </w:rPr>
          <w:fldChar w:fldCharType="end"/>
        </w:r>
      </w:hyperlink>
    </w:p>
    <w:p w14:paraId="1C88BB5F" w14:textId="5BE53AE4"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4" w:history="1">
        <w:r w:rsidRPr="00F02F76">
          <w:rPr>
            <w:rStyle w:val="Hyperlink"/>
            <w:noProof/>
            <w:lang w:val="fr-FR"/>
          </w:rPr>
          <w:t>6.5</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lang w:val="fr-FR"/>
          </w:rPr>
          <w:t>Enoxaparin – Adults VTE treatment dose (Non-Pregnant)</w:t>
        </w:r>
        <w:r>
          <w:rPr>
            <w:noProof/>
            <w:webHidden/>
          </w:rPr>
          <w:tab/>
        </w:r>
        <w:r>
          <w:rPr>
            <w:noProof/>
            <w:webHidden/>
          </w:rPr>
          <w:fldChar w:fldCharType="begin"/>
        </w:r>
        <w:r>
          <w:rPr>
            <w:noProof/>
            <w:webHidden/>
          </w:rPr>
          <w:instrText xml:space="preserve"> PAGEREF _Toc184021154 \h </w:instrText>
        </w:r>
        <w:r>
          <w:rPr>
            <w:noProof/>
            <w:webHidden/>
          </w:rPr>
        </w:r>
        <w:r>
          <w:rPr>
            <w:noProof/>
            <w:webHidden/>
          </w:rPr>
          <w:fldChar w:fldCharType="separate"/>
        </w:r>
        <w:r>
          <w:rPr>
            <w:noProof/>
            <w:webHidden/>
          </w:rPr>
          <w:t>9</w:t>
        </w:r>
        <w:r>
          <w:rPr>
            <w:noProof/>
            <w:webHidden/>
          </w:rPr>
          <w:fldChar w:fldCharType="end"/>
        </w:r>
      </w:hyperlink>
    </w:p>
    <w:p w14:paraId="4488DE03" w14:textId="5B153AF6" w:rsidR="00F00B44" w:rsidRDefault="00F00B44">
      <w:pPr>
        <w:pStyle w:val="TOC3"/>
        <w:rPr>
          <w:rFonts w:asciiTheme="minorHAnsi" w:eastAsiaTheme="minorEastAsia" w:hAnsiTheme="minorHAnsi" w:cstheme="minorBidi"/>
          <w:bCs w:val="0"/>
          <w:noProof/>
          <w:kern w:val="2"/>
          <w:sz w:val="22"/>
          <w:szCs w:val="22"/>
          <w:lang w:eastAsia="en-GB"/>
          <w14:ligatures w14:val="standardContextual"/>
        </w:rPr>
      </w:pPr>
      <w:hyperlink w:anchor="_Toc184021155" w:history="1">
        <w:r w:rsidRPr="00F02F76">
          <w:rPr>
            <w:rStyle w:val="Hyperlink"/>
            <w:noProof/>
          </w:rPr>
          <w:t>6.5.1</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For patients with CrCl &lt;30mL/min the dose of enoxaparin is 1mg/kg OD.</w:t>
        </w:r>
        <w:r>
          <w:rPr>
            <w:noProof/>
            <w:webHidden/>
          </w:rPr>
          <w:tab/>
        </w:r>
        <w:r>
          <w:rPr>
            <w:noProof/>
            <w:webHidden/>
          </w:rPr>
          <w:fldChar w:fldCharType="begin"/>
        </w:r>
        <w:r>
          <w:rPr>
            <w:noProof/>
            <w:webHidden/>
          </w:rPr>
          <w:instrText xml:space="preserve"> PAGEREF _Toc184021155 \h </w:instrText>
        </w:r>
        <w:r>
          <w:rPr>
            <w:noProof/>
            <w:webHidden/>
          </w:rPr>
        </w:r>
        <w:r>
          <w:rPr>
            <w:noProof/>
            <w:webHidden/>
          </w:rPr>
          <w:fldChar w:fldCharType="separate"/>
        </w:r>
        <w:r>
          <w:rPr>
            <w:noProof/>
            <w:webHidden/>
          </w:rPr>
          <w:t>9</w:t>
        </w:r>
        <w:r>
          <w:rPr>
            <w:noProof/>
            <w:webHidden/>
          </w:rPr>
          <w:fldChar w:fldCharType="end"/>
        </w:r>
      </w:hyperlink>
    </w:p>
    <w:p w14:paraId="51BA0343" w14:textId="28DE6181"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6" w:history="1">
        <w:r w:rsidRPr="00F02F76">
          <w:rPr>
            <w:rStyle w:val="Hyperlink"/>
            <w:noProof/>
          </w:rPr>
          <w:t>6.6</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Monitoring</w:t>
        </w:r>
        <w:r>
          <w:rPr>
            <w:noProof/>
            <w:webHidden/>
          </w:rPr>
          <w:tab/>
        </w:r>
        <w:r>
          <w:rPr>
            <w:noProof/>
            <w:webHidden/>
          </w:rPr>
          <w:fldChar w:fldCharType="begin"/>
        </w:r>
        <w:r>
          <w:rPr>
            <w:noProof/>
            <w:webHidden/>
          </w:rPr>
          <w:instrText xml:space="preserve"> PAGEREF _Toc184021156 \h </w:instrText>
        </w:r>
        <w:r>
          <w:rPr>
            <w:noProof/>
            <w:webHidden/>
          </w:rPr>
        </w:r>
        <w:r>
          <w:rPr>
            <w:noProof/>
            <w:webHidden/>
          </w:rPr>
          <w:fldChar w:fldCharType="separate"/>
        </w:r>
        <w:r>
          <w:rPr>
            <w:noProof/>
            <w:webHidden/>
          </w:rPr>
          <w:t>10</w:t>
        </w:r>
        <w:r>
          <w:rPr>
            <w:noProof/>
            <w:webHidden/>
          </w:rPr>
          <w:fldChar w:fldCharType="end"/>
        </w:r>
      </w:hyperlink>
    </w:p>
    <w:p w14:paraId="681C09F0" w14:textId="59BE813A"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7" w:history="1">
        <w:r w:rsidRPr="00F02F76">
          <w:rPr>
            <w:rStyle w:val="Hyperlink"/>
            <w:noProof/>
          </w:rPr>
          <w:t>6.7</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Reversal of Enoxaparin</w:t>
        </w:r>
        <w:r>
          <w:rPr>
            <w:noProof/>
            <w:webHidden/>
          </w:rPr>
          <w:tab/>
        </w:r>
        <w:r>
          <w:rPr>
            <w:noProof/>
            <w:webHidden/>
          </w:rPr>
          <w:fldChar w:fldCharType="begin"/>
        </w:r>
        <w:r>
          <w:rPr>
            <w:noProof/>
            <w:webHidden/>
          </w:rPr>
          <w:instrText xml:space="preserve"> PAGEREF _Toc184021157 \h </w:instrText>
        </w:r>
        <w:r>
          <w:rPr>
            <w:noProof/>
            <w:webHidden/>
          </w:rPr>
        </w:r>
        <w:r>
          <w:rPr>
            <w:noProof/>
            <w:webHidden/>
          </w:rPr>
          <w:fldChar w:fldCharType="separate"/>
        </w:r>
        <w:r>
          <w:rPr>
            <w:noProof/>
            <w:webHidden/>
          </w:rPr>
          <w:t>11</w:t>
        </w:r>
        <w:r>
          <w:rPr>
            <w:noProof/>
            <w:webHidden/>
          </w:rPr>
          <w:fldChar w:fldCharType="end"/>
        </w:r>
      </w:hyperlink>
    </w:p>
    <w:p w14:paraId="16B62BE9" w14:textId="04621B04" w:rsidR="00F00B44" w:rsidRDefault="00F00B44">
      <w:pPr>
        <w:pStyle w:val="TOC2"/>
        <w:rPr>
          <w:rFonts w:asciiTheme="minorHAnsi" w:eastAsiaTheme="minorEastAsia" w:hAnsiTheme="minorHAnsi" w:cstheme="minorBidi"/>
          <w:bCs w:val="0"/>
          <w:noProof/>
          <w:kern w:val="2"/>
          <w:sz w:val="22"/>
          <w:szCs w:val="22"/>
          <w:lang w:eastAsia="en-GB"/>
          <w14:ligatures w14:val="standardContextual"/>
        </w:rPr>
      </w:pPr>
      <w:hyperlink w:anchor="_Toc184021158" w:history="1">
        <w:r w:rsidRPr="00F02F76">
          <w:rPr>
            <w:rStyle w:val="Hyperlink"/>
            <w:noProof/>
          </w:rPr>
          <w:t>6.8</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Communication at Discharge or Transfer</w:t>
        </w:r>
        <w:r>
          <w:rPr>
            <w:noProof/>
            <w:webHidden/>
          </w:rPr>
          <w:tab/>
        </w:r>
        <w:r>
          <w:rPr>
            <w:noProof/>
            <w:webHidden/>
          </w:rPr>
          <w:fldChar w:fldCharType="begin"/>
        </w:r>
        <w:r>
          <w:rPr>
            <w:noProof/>
            <w:webHidden/>
          </w:rPr>
          <w:instrText xml:space="preserve"> PAGEREF _Toc184021158 \h </w:instrText>
        </w:r>
        <w:r>
          <w:rPr>
            <w:noProof/>
            <w:webHidden/>
          </w:rPr>
        </w:r>
        <w:r>
          <w:rPr>
            <w:noProof/>
            <w:webHidden/>
          </w:rPr>
          <w:fldChar w:fldCharType="separate"/>
        </w:r>
        <w:r>
          <w:rPr>
            <w:noProof/>
            <w:webHidden/>
          </w:rPr>
          <w:t>11</w:t>
        </w:r>
        <w:r>
          <w:rPr>
            <w:noProof/>
            <w:webHidden/>
          </w:rPr>
          <w:fldChar w:fldCharType="end"/>
        </w:r>
      </w:hyperlink>
    </w:p>
    <w:p w14:paraId="65BF3673" w14:textId="25450F5B"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59" w:history="1">
        <w:r w:rsidRPr="00F02F76">
          <w:rPr>
            <w:rStyle w:val="Hyperlink"/>
            <w:noProof/>
          </w:rPr>
          <w:t>7</w:t>
        </w:r>
        <w:r>
          <w:rPr>
            <w:rFonts w:asciiTheme="minorHAnsi" w:eastAsiaTheme="minorEastAsia" w:hAnsiTheme="minorHAnsi" w:cstheme="minorBidi"/>
            <w:bCs w:val="0"/>
            <w:noProof/>
            <w:kern w:val="2"/>
            <w:sz w:val="22"/>
            <w:szCs w:val="22"/>
            <w:lang w:eastAsia="en-GB"/>
            <w14:ligatures w14:val="standardContextual"/>
          </w:rPr>
          <w:tab/>
        </w:r>
        <w:r w:rsidRPr="00F02F76">
          <w:rPr>
            <w:rStyle w:val="Hyperlink"/>
            <w:noProof/>
          </w:rPr>
          <w:t>References and Associated Documents</w:t>
        </w:r>
        <w:r>
          <w:rPr>
            <w:noProof/>
            <w:webHidden/>
          </w:rPr>
          <w:tab/>
        </w:r>
        <w:r>
          <w:rPr>
            <w:noProof/>
            <w:webHidden/>
          </w:rPr>
          <w:fldChar w:fldCharType="begin"/>
        </w:r>
        <w:r>
          <w:rPr>
            <w:noProof/>
            <w:webHidden/>
          </w:rPr>
          <w:instrText xml:space="preserve"> PAGEREF _Toc184021159 \h </w:instrText>
        </w:r>
        <w:r>
          <w:rPr>
            <w:noProof/>
            <w:webHidden/>
          </w:rPr>
        </w:r>
        <w:r>
          <w:rPr>
            <w:noProof/>
            <w:webHidden/>
          </w:rPr>
          <w:fldChar w:fldCharType="separate"/>
        </w:r>
        <w:r>
          <w:rPr>
            <w:noProof/>
            <w:webHidden/>
          </w:rPr>
          <w:t>12</w:t>
        </w:r>
        <w:r>
          <w:rPr>
            <w:noProof/>
            <w:webHidden/>
          </w:rPr>
          <w:fldChar w:fldCharType="end"/>
        </w:r>
      </w:hyperlink>
    </w:p>
    <w:p w14:paraId="7398CB71" w14:textId="4558C6CC"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60" w:history="1">
        <w:r w:rsidRPr="00F02F76">
          <w:rPr>
            <w:rStyle w:val="Hyperlink"/>
            <w:noProof/>
          </w:rPr>
          <w:t>Appendix 1: Patient Weight</w:t>
        </w:r>
        <w:r>
          <w:rPr>
            <w:noProof/>
            <w:webHidden/>
          </w:rPr>
          <w:tab/>
        </w:r>
        <w:r>
          <w:rPr>
            <w:noProof/>
            <w:webHidden/>
          </w:rPr>
          <w:fldChar w:fldCharType="begin"/>
        </w:r>
        <w:r>
          <w:rPr>
            <w:noProof/>
            <w:webHidden/>
          </w:rPr>
          <w:instrText xml:space="preserve"> PAGEREF _Toc184021160 \h </w:instrText>
        </w:r>
        <w:r>
          <w:rPr>
            <w:noProof/>
            <w:webHidden/>
          </w:rPr>
        </w:r>
        <w:r>
          <w:rPr>
            <w:noProof/>
            <w:webHidden/>
          </w:rPr>
          <w:fldChar w:fldCharType="separate"/>
        </w:r>
        <w:r>
          <w:rPr>
            <w:noProof/>
            <w:webHidden/>
          </w:rPr>
          <w:t>14</w:t>
        </w:r>
        <w:r>
          <w:rPr>
            <w:noProof/>
            <w:webHidden/>
          </w:rPr>
          <w:fldChar w:fldCharType="end"/>
        </w:r>
      </w:hyperlink>
    </w:p>
    <w:p w14:paraId="47C19CF2" w14:textId="2390586A"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61" w:history="1">
        <w:r w:rsidRPr="00F02F76">
          <w:rPr>
            <w:rStyle w:val="Hyperlink"/>
            <w:noProof/>
          </w:rPr>
          <w:t>Appendix 2: Renal Function</w:t>
        </w:r>
        <w:r>
          <w:rPr>
            <w:noProof/>
            <w:webHidden/>
          </w:rPr>
          <w:tab/>
        </w:r>
        <w:r>
          <w:rPr>
            <w:noProof/>
            <w:webHidden/>
          </w:rPr>
          <w:fldChar w:fldCharType="begin"/>
        </w:r>
        <w:r>
          <w:rPr>
            <w:noProof/>
            <w:webHidden/>
          </w:rPr>
          <w:instrText xml:space="preserve"> PAGEREF _Toc184021161 \h </w:instrText>
        </w:r>
        <w:r>
          <w:rPr>
            <w:noProof/>
            <w:webHidden/>
          </w:rPr>
        </w:r>
        <w:r>
          <w:rPr>
            <w:noProof/>
            <w:webHidden/>
          </w:rPr>
          <w:fldChar w:fldCharType="separate"/>
        </w:r>
        <w:r>
          <w:rPr>
            <w:noProof/>
            <w:webHidden/>
          </w:rPr>
          <w:t>15</w:t>
        </w:r>
        <w:r>
          <w:rPr>
            <w:noProof/>
            <w:webHidden/>
          </w:rPr>
          <w:fldChar w:fldCharType="end"/>
        </w:r>
      </w:hyperlink>
    </w:p>
    <w:p w14:paraId="69AEC328" w14:textId="01790DF5" w:rsidR="00F00B44" w:rsidRDefault="00F00B44">
      <w:pPr>
        <w:pStyle w:val="TOC1"/>
        <w:rPr>
          <w:rFonts w:asciiTheme="minorHAnsi" w:eastAsiaTheme="minorEastAsia" w:hAnsiTheme="minorHAnsi" w:cstheme="minorBidi"/>
          <w:bCs w:val="0"/>
          <w:noProof/>
          <w:kern w:val="2"/>
          <w:sz w:val="22"/>
          <w:szCs w:val="22"/>
          <w:lang w:eastAsia="en-GB"/>
          <w14:ligatures w14:val="standardContextual"/>
        </w:rPr>
      </w:pPr>
      <w:hyperlink w:anchor="_Toc184021162" w:history="1">
        <w:r w:rsidRPr="00F02F76">
          <w:rPr>
            <w:rStyle w:val="Hyperlink"/>
            <w:noProof/>
          </w:rPr>
          <w:t>Appendix 3: Equality Impact Assessment Form</w:t>
        </w:r>
        <w:r>
          <w:rPr>
            <w:noProof/>
            <w:webHidden/>
          </w:rPr>
          <w:tab/>
        </w:r>
        <w:r>
          <w:rPr>
            <w:noProof/>
            <w:webHidden/>
          </w:rPr>
          <w:fldChar w:fldCharType="begin"/>
        </w:r>
        <w:r>
          <w:rPr>
            <w:noProof/>
            <w:webHidden/>
          </w:rPr>
          <w:instrText xml:space="preserve"> PAGEREF _Toc184021162 \h </w:instrText>
        </w:r>
        <w:r>
          <w:rPr>
            <w:noProof/>
            <w:webHidden/>
          </w:rPr>
        </w:r>
        <w:r>
          <w:rPr>
            <w:noProof/>
            <w:webHidden/>
          </w:rPr>
          <w:fldChar w:fldCharType="separate"/>
        </w:r>
        <w:r>
          <w:rPr>
            <w:noProof/>
            <w:webHidden/>
          </w:rPr>
          <w:t>16</w:t>
        </w:r>
        <w:r>
          <w:rPr>
            <w:noProof/>
            <w:webHidden/>
          </w:rPr>
          <w:fldChar w:fldCharType="end"/>
        </w:r>
      </w:hyperlink>
    </w:p>
    <w:p w14:paraId="57A47477" w14:textId="7081CE2A" w:rsidR="006A3EE4" w:rsidRDefault="00CF74FF">
      <w:r>
        <w:fldChar w:fldCharType="end"/>
      </w:r>
      <w:r w:rsidR="006A3EE4">
        <w:br w:type="page"/>
      </w:r>
    </w:p>
    <w:p w14:paraId="5B14CC40" w14:textId="7940B810" w:rsidR="00264E04" w:rsidRPr="00C40351" w:rsidRDefault="009B3F14" w:rsidP="00BD691F">
      <w:pPr>
        <w:pStyle w:val="Heading1"/>
      </w:pPr>
      <w:bookmarkStart w:id="4" w:name="_Toc184021136"/>
      <w:r>
        <w:lastRenderedPageBreak/>
        <w:t xml:space="preserve">Introduction / </w:t>
      </w:r>
      <w:r w:rsidR="00D16C01">
        <w:t>Purpose</w:t>
      </w:r>
      <w:bookmarkEnd w:id="4"/>
    </w:p>
    <w:p w14:paraId="47EC96FB" w14:textId="77777777" w:rsidR="00D16C01" w:rsidRDefault="00D16C01"/>
    <w:p w14:paraId="26DA5472" w14:textId="4578887C" w:rsidR="00F566F9" w:rsidRPr="00F566F9" w:rsidRDefault="00F566F9" w:rsidP="00F566F9">
      <w:r w:rsidRPr="00F566F9">
        <w:t>To provide an Enoxaparin dosing guide for the treatment of venous thromboembolism.</w:t>
      </w:r>
    </w:p>
    <w:p w14:paraId="20E672F5" w14:textId="77777777" w:rsidR="00F566F9" w:rsidRPr="00F566F9" w:rsidRDefault="00F566F9" w:rsidP="00F566F9"/>
    <w:p w14:paraId="43D4D6CD" w14:textId="77777777" w:rsidR="00F566F9" w:rsidRPr="00F566F9" w:rsidRDefault="00F566F9" w:rsidP="00F566F9">
      <w:r w:rsidRPr="00F566F9">
        <w:t>To reduce the treatment dose errors with Enoxaparin.</w:t>
      </w:r>
    </w:p>
    <w:p w14:paraId="2E770325" w14:textId="77777777" w:rsidR="005F2048" w:rsidRDefault="005F2048"/>
    <w:p w14:paraId="26C06534" w14:textId="0C345BC2" w:rsidR="00264E04" w:rsidRPr="00C40351" w:rsidRDefault="009B3F14" w:rsidP="00BD691F">
      <w:pPr>
        <w:pStyle w:val="Heading1"/>
      </w:pPr>
      <w:bookmarkStart w:id="5" w:name="_Toc184021137"/>
      <w:r>
        <w:t xml:space="preserve">General Principles / </w:t>
      </w:r>
      <w:r w:rsidR="00D16C01">
        <w:t>Target Audience</w:t>
      </w:r>
      <w:bookmarkEnd w:id="5"/>
    </w:p>
    <w:p w14:paraId="3DF74FA9" w14:textId="77777777" w:rsidR="00D16C01" w:rsidRDefault="00D16C01" w:rsidP="005B4CC2">
      <w:pPr>
        <w:pStyle w:val="BodyText2"/>
        <w:rPr>
          <w:rFonts w:cs="Arial"/>
          <w:szCs w:val="24"/>
          <w:lang w:val="en-US"/>
        </w:rPr>
      </w:pPr>
    </w:p>
    <w:p w14:paraId="53B7E314" w14:textId="6325CA75" w:rsidR="00B31A89" w:rsidRPr="00312AAA" w:rsidRDefault="00312AAA" w:rsidP="005B4CC2">
      <w:pPr>
        <w:pStyle w:val="BodyText2"/>
        <w:rPr>
          <w:rFonts w:cs="Arial"/>
          <w:szCs w:val="24"/>
          <w:lang w:val="en-US"/>
        </w:rPr>
      </w:pPr>
      <w:r w:rsidRPr="00312AAA">
        <w:rPr>
          <w:rFonts w:cs="Arial"/>
          <w:szCs w:val="24"/>
          <w:lang w:val="en-US"/>
        </w:rPr>
        <w:t>Trust wide</w:t>
      </w:r>
      <w:r>
        <w:rPr>
          <w:rFonts w:cs="Arial"/>
          <w:szCs w:val="24"/>
          <w:lang w:val="en-US"/>
        </w:rPr>
        <w:t>.</w:t>
      </w:r>
    </w:p>
    <w:p w14:paraId="508F6A8E" w14:textId="77777777" w:rsidR="00B31A89" w:rsidRDefault="00B31A89" w:rsidP="005B4CC2">
      <w:pPr>
        <w:pStyle w:val="BodyText2"/>
        <w:rPr>
          <w:rFonts w:cs="Arial"/>
          <w:szCs w:val="24"/>
          <w:lang w:val="en-US"/>
        </w:rPr>
      </w:pPr>
    </w:p>
    <w:p w14:paraId="505DD3E6" w14:textId="77777777" w:rsidR="007509DF" w:rsidRPr="007509DF" w:rsidRDefault="007509DF" w:rsidP="007509DF">
      <w:pPr>
        <w:pStyle w:val="Heading2"/>
      </w:pPr>
      <w:bookmarkStart w:id="6" w:name="_Toc428263359"/>
      <w:bookmarkStart w:id="7" w:name="_Toc522284740"/>
      <w:bookmarkStart w:id="8" w:name="_Toc170131877"/>
      <w:bookmarkStart w:id="9" w:name="_Toc184021138"/>
      <w:r w:rsidRPr="007509DF">
        <w:t>Exceptions - Children and Neonates</w:t>
      </w:r>
      <w:bookmarkEnd w:id="6"/>
      <w:bookmarkEnd w:id="7"/>
      <w:bookmarkEnd w:id="8"/>
      <w:bookmarkEnd w:id="9"/>
    </w:p>
    <w:p w14:paraId="3A970F53" w14:textId="77777777" w:rsidR="007509DF" w:rsidRPr="007509DF" w:rsidRDefault="007509DF" w:rsidP="007509DF">
      <w:pPr>
        <w:pStyle w:val="BodyText2"/>
        <w:rPr>
          <w:rFonts w:cs="Arial"/>
          <w:szCs w:val="24"/>
        </w:rPr>
      </w:pPr>
    </w:p>
    <w:p w14:paraId="5033A4CA" w14:textId="77777777" w:rsidR="007509DF" w:rsidRPr="007509DF" w:rsidRDefault="007509DF" w:rsidP="007509DF">
      <w:pPr>
        <w:pStyle w:val="BodyText2"/>
        <w:rPr>
          <w:rFonts w:cs="Arial"/>
          <w:szCs w:val="24"/>
        </w:rPr>
      </w:pPr>
      <w:r w:rsidRPr="007509DF">
        <w:rPr>
          <w:rFonts w:cs="Arial"/>
          <w:szCs w:val="24"/>
        </w:rPr>
        <w:t xml:space="preserve">The use of Low molecular weight heparin (LMWHs) in paediatrics and neonates is outside the scope of this procedure. </w:t>
      </w:r>
    </w:p>
    <w:p w14:paraId="6845B7B7" w14:textId="77777777" w:rsidR="007509DF" w:rsidRPr="007509DF" w:rsidRDefault="007509DF" w:rsidP="007509DF">
      <w:pPr>
        <w:pStyle w:val="BodyText2"/>
        <w:rPr>
          <w:rFonts w:cs="Arial"/>
          <w:szCs w:val="24"/>
        </w:rPr>
      </w:pPr>
    </w:p>
    <w:p w14:paraId="55A5DB9E" w14:textId="77777777" w:rsidR="007509DF" w:rsidRPr="007509DF" w:rsidRDefault="007509DF" w:rsidP="007509DF">
      <w:pPr>
        <w:pStyle w:val="BodyText2"/>
        <w:rPr>
          <w:rFonts w:cs="Arial"/>
          <w:szCs w:val="24"/>
        </w:rPr>
      </w:pPr>
      <w:r w:rsidRPr="007509DF">
        <w:rPr>
          <w:rFonts w:cs="Arial"/>
          <w:szCs w:val="24"/>
        </w:rPr>
        <w:t xml:space="preserve">LMWH products are currently not licensed for use in children and dosing may require specialist advice.  Liaise with tertiary paediatric centres for advice about anticoagulation. </w:t>
      </w:r>
    </w:p>
    <w:p w14:paraId="56E72B11" w14:textId="77777777" w:rsidR="007509DF" w:rsidRPr="007509DF" w:rsidRDefault="007509DF" w:rsidP="007509DF">
      <w:pPr>
        <w:pStyle w:val="BodyText2"/>
        <w:rPr>
          <w:rFonts w:cs="Arial"/>
          <w:szCs w:val="24"/>
        </w:rPr>
      </w:pPr>
    </w:p>
    <w:p w14:paraId="7D6C0FE0" w14:textId="77777777" w:rsidR="007509DF" w:rsidRPr="007509DF" w:rsidRDefault="007509DF" w:rsidP="007509DF">
      <w:pPr>
        <w:pStyle w:val="Heading2"/>
      </w:pPr>
      <w:bookmarkStart w:id="10" w:name="_Toc428263360"/>
      <w:bookmarkStart w:id="11" w:name="_Toc522284741"/>
      <w:bookmarkStart w:id="12" w:name="_Toc170131878"/>
      <w:bookmarkStart w:id="13" w:name="_Toc184021139"/>
      <w:r w:rsidRPr="007509DF">
        <w:t>Exceptions – Pregnancy</w:t>
      </w:r>
      <w:bookmarkEnd w:id="10"/>
      <w:bookmarkEnd w:id="11"/>
      <w:bookmarkEnd w:id="12"/>
      <w:bookmarkEnd w:id="13"/>
    </w:p>
    <w:p w14:paraId="35AA0960" w14:textId="77777777" w:rsidR="007509DF" w:rsidRPr="007509DF" w:rsidRDefault="007509DF" w:rsidP="007509DF">
      <w:pPr>
        <w:pStyle w:val="BodyText2"/>
        <w:rPr>
          <w:rFonts w:cs="Arial"/>
          <w:szCs w:val="24"/>
        </w:rPr>
      </w:pPr>
    </w:p>
    <w:p w14:paraId="57366B3C" w14:textId="77777777" w:rsidR="007509DF" w:rsidRPr="007509DF" w:rsidRDefault="007509DF" w:rsidP="007509DF">
      <w:pPr>
        <w:pStyle w:val="BodyText2"/>
        <w:rPr>
          <w:rFonts w:cs="Arial"/>
          <w:szCs w:val="24"/>
        </w:rPr>
      </w:pPr>
      <w:r w:rsidRPr="007509DF">
        <w:rPr>
          <w:rFonts w:cs="Arial"/>
          <w:szCs w:val="24"/>
        </w:rPr>
        <w:t>For dosing advice in pregnant patients refer to the Obstetric / Gynaecology policies and procedures. Pregnant patients must be managed by a Specialist Obstetrics / Gynaecology consultant.</w:t>
      </w:r>
    </w:p>
    <w:p w14:paraId="0A5399BF" w14:textId="77777777" w:rsidR="007509DF" w:rsidRDefault="007509DF" w:rsidP="005B4CC2">
      <w:pPr>
        <w:pStyle w:val="BodyText2"/>
        <w:rPr>
          <w:rFonts w:cs="Arial"/>
          <w:szCs w:val="24"/>
          <w:lang w:val="en-US"/>
        </w:rPr>
      </w:pPr>
    </w:p>
    <w:p w14:paraId="28F79FD5" w14:textId="09ACDAD3" w:rsidR="009B3F14" w:rsidRPr="00C40351" w:rsidRDefault="009B3F14" w:rsidP="00886EB8">
      <w:pPr>
        <w:pStyle w:val="Heading1"/>
      </w:pPr>
      <w:bookmarkStart w:id="14" w:name="_Toc184021140"/>
      <w:r>
        <w:t>Definitions</w:t>
      </w:r>
      <w:r w:rsidR="00CF0211">
        <w:t xml:space="preserve"> and </w:t>
      </w:r>
      <w:r w:rsidR="00CF0211" w:rsidRPr="00886EB8">
        <w:t>Abbreviations</w:t>
      </w:r>
      <w:bookmarkEnd w:id="14"/>
    </w:p>
    <w:p w14:paraId="3EBB647A" w14:textId="77777777" w:rsidR="009B3F14" w:rsidRDefault="009B3F14" w:rsidP="009B3F14">
      <w:pPr>
        <w:pStyle w:val="BodyText2"/>
        <w:rPr>
          <w:rFonts w:cs="Arial"/>
          <w:szCs w:val="24"/>
          <w:lang w:val="en-US"/>
        </w:rPr>
      </w:pPr>
    </w:p>
    <w:p w14:paraId="120EBFAB" w14:textId="0914AB74" w:rsidR="00E005CB" w:rsidRPr="00E005CB" w:rsidRDefault="00E005CB" w:rsidP="00E005CB">
      <w:pPr>
        <w:pStyle w:val="BodyText2"/>
        <w:ind w:left="1134" w:hanging="1134"/>
        <w:rPr>
          <w:rFonts w:cs="Arial"/>
          <w:szCs w:val="24"/>
        </w:rPr>
      </w:pPr>
      <w:r w:rsidRPr="00E005CB">
        <w:rPr>
          <w:rFonts w:cs="Arial"/>
          <w:szCs w:val="24"/>
        </w:rPr>
        <w:t>ACE</w:t>
      </w:r>
      <w:r w:rsidRPr="00E005CB">
        <w:rPr>
          <w:rFonts w:cs="Arial"/>
          <w:szCs w:val="24"/>
        </w:rPr>
        <w:tab/>
        <w:t>Angiotensin-Converting Enzyme</w:t>
      </w:r>
    </w:p>
    <w:p w14:paraId="5ADBD012" w14:textId="77777777" w:rsidR="00E005CB" w:rsidRPr="00E005CB" w:rsidRDefault="00E005CB" w:rsidP="00E005CB">
      <w:pPr>
        <w:pStyle w:val="BodyText2"/>
        <w:ind w:left="1134" w:hanging="1134"/>
        <w:rPr>
          <w:rFonts w:cs="Arial"/>
          <w:szCs w:val="24"/>
        </w:rPr>
      </w:pPr>
      <w:r w:rsidRPr="00E005CB">
        <w:rPr>
          <w:rFonts w:cs="Arial"/>
          <w:szCs w:val="24"/>
        </w:rPr>
        <w:t>anti-Xa</w:t>
      </w:r>
      <w:r w:rsidRPr="00E005CB">
        <w:rPr>
          <w:rFonts w:cs="Arial"/>
          <w:szCs w:val="24"/>
        </w:rPr>
        <w:tab/>
        <w:t>anti-Factor Xa</w:t>
      </w:r>
    </w:p>
    <w:p w14:paraId="3DCA3149" w14:textId="77777777" w:rsidR="00E005CB" w:rsidRPr="00E005CB" w:rsidRDefault="00E005CB" w:rsidP="00E005CB">
      <w:pPr>
        <w:pStyle w:val="BodyText2"/>
        <w:ind w:left="1134" w:hanging="1134"/>
        <w:rPr>
          <w:rFonts w:cs="Arial"/>
          <w:szCs w:val="24"/>
        </w:rPr>
      </w:pPr>
      <w:r w:rsidRPr="00E005CB">
        <w:rPr>
          <w:rFonts w:cs="Arial"/>
          <w:szCs w:val="24"/>
        </w:rPr>
        <w:t>BNF</w:t>
      </w:r>
      <w:r w:rsidRPr="00E005CB">
        <w:rPr>
          <w:rFonts w:cs="Arial"/>
          <w:szCs w:val="24"/>
        </w:rPr>
        <w:tab/>
        <w:t>British National Formulary</w:t>
      </w:r>
    </w:p>
    <w:p w14:paraId="10D182D5" w14:textId="77777777" w:rsidR="00E005CB" w:rsidRPr="00E005CB" w:rsidRDefault="00E005CB" w:rsidP="00E005CB">
      <w:pPr>
        <w:pStyle w:val="BodyText2"/>
        <w:ind w:left="1134" w:hanging="1134"/>
        <w:rPr>
          <w:rFonts w:cs="Arial"/>
          <w:szCs w:val="24"/>
        </w:rPr>
      </w:pPr>
      <w:r w:rsidRPr="00E005CB">
        <w:rPr>
          <w:rFonts w:cs="Arial"/>
          <w:szCs w:val="24"/>
        </w:rPr>
        <w:t>Cr Cl</w:t>
      </w:r>
      <w:r w:rsidRPr="00E005CB">
        <w:rPr>
          <w:rFonts w:cs="Arial"/>
          <w:szCs w:val="24"/>
        </w:rPr>
        <w:tab/>
        <w:t>Creatinine Clearance</w:t>
      </w:r>
    </w:p>
    <w:p w14:paraId="5094D987" w14:textId="77777777" w:rsidR="00E005CB" w:rsidRPr="00E005CB" w:rsidRDefault="00E005CB" w:rsidP="00E005CB">
      <w:pPr>
        <w:pStyle w:val="BodyText2"/>
        <w:ind w:left="1134" w:hanging="1134"/>
        <w:rPr>
          <w:rFonts w:cs="Arial"/>
          <w:szCs w:val="24"/>
        </w:rPr>
      </w:pPr>
      <w:r w:rsidRPr="00E005CB">
        <w:rPr>
          <w:rFonts w:cs="Arial"/>
          <w:szCs w:val="24"/>
        </w:rPr>
        <w:t>DVT</w:t>
      </w:r>
      <w:r w:rsidRPr="00E005CB">
        <w:rPr>
          <w:rFonts w:cs="Arial"/>
          <w:szCs w:val="24"/>
        </w:rPr>
        <w:tab/>
        <w:t>Deep Vein Thrombosis</w:t>
      </w:r>
    </w:p>
    <w:p w14:paraId="7969FA10" w14:textId="77777777" w:rsidR="00E005CB" w:rsidRPr="00E005CB" w:rsidRDefault="00E005CB" w:rsidP="00E005CB">
      <w:pPr>
        <w:pStyle w:val="BodyText2"/>
        <w:ind w:left="1134" w:hanging="1134"/>
        <w:rPr>
          <w:rFonts w:cs="Arial"/>
          <w:szCs w:val="24"/>
        </w:rPr>
      </w:pPr>
      <w:r w:rsidRPr="00E005CB">
        <w:rPr>
          <w:rFonts w:cs="Arial"/>
          <w:szCs w:val="24"/>
        </w:rPr>
        <w:t>FBC</w:t>
      </w:r>
      <w:r w:rsidRPr="00E005CB">
        <w:rPr>
          <w:rFonts w:cs="Arial"/>
          <w:szCs w:val="24"/>
        </w:rPr>
        <w:tab/>
        <w:t>Full Blood Count</w:t>
      </w:r>
    </w:p>
    <w:p w14:paraId="71AB38D6" w14:textId="77777777" w:rsidR="00E005CB" w:rsidRPr="00E005CB" w:rsidRDefault="00E005CB" w:rsidP="00E005CB">
      <w:pPr>
        <w:pStyle w:val="BodyText2"/>
        <w:ind w:left="1134" w:hanging="1134"/>
        <w:rPr>
          <w:rFonts w:cs="Arial"/>
          <w:szCs w:val="24"/>
        </w:rPr>
      </w:pPr>
      <w:r w:rsidRPr="00E005CB">
        <w:rPr>
          <w:rFonts w:cs="Arial"/>
          <w:szCs w:val="24"/>
        </w:rPr>
        <w:t>GPs</w:t>
      </w:r>
      <w:r w:rsidRPr="00E005CB">
        <w:rPr>
          <w:rFonts w:cs="Arial"/>
          <w:szCs w:val="24"/>
        </w:rPr>
        <w:tab/>
        <w:t>General Practitioners</w:t>
      </w:r>
    </w:p>
    <w:p w14:paraId="50B061DA" w14:textId="77777777" w:rsidR="00E005CB" w:rsidRPr="00E005CB" w:rsidRDefault="00E005CB" w:rsidP="00E005CB">
      <w:pPr>
        <w:pStyle w:val="BodyText2"/>
        <w:ind w:left="1134" w:hanging="1134"/>
        <w:rPr>
          <w:rFonts w:cs="Arial"/>
          <w:szCs w:val="24"/>
        </w:rPr>
      </w:pPr>
      <w:r w:rsidRPr="00E005CB">
        <w:rPr>
          <w:rFonts w:cs="Arial"/>
          <w:szCs w:val="24"/>
        </w:rPr>
        <w:t>HIT</w:t>
      </w:r>
      <w:r w:rsidRPr="00E005CB">
        <w:rPr>
          <w:rFonts w:cs="Arial"/>
          <w:szCs w:val="24"/>
        </w:rPr>
        <w:tab/>
        <w:t>Heparin Induced Thrombocytopenia</w:t>
      </w:r>
    </w:p>
    <w:p w14:paraId="19A6C8A1" w14:textId="77777777" w:rsidR="00E005CB" w:rsidRPr="00E005CB" w:rsidRDefault="00E005CB" w:rsidP="00E005CB">
      <w:pPr>
        <w:pStyle w:val="BodyText2"/>
        <w:ind w:left="1134" w:hanging="1134"/>
        <w:rPr>
          <w:rFonts w:cs="Arial"/>
          <w:szCs w:val="24"/>
        </w:rPr>
      </w:pPr>
      <w:r w:rsidRPr="00E005CB">
        <w:rPr>
          <w:rFonts w:cs="Arial"/>
          <w:szCs w:val="24"/>
        </w:rPr>
        <w:t>INR</w:t>
      </w:r>
      <w:r w:rsidRPr="00E005CB">
        <w:rPr>
          <w:rFonts w:cs="Arial"/>
          <w:szCs w:val="24"/>
        </w:rPr>
        <w:tab/>
        <w:t>International Normalized Ratio</w:t>
      </w:r>
    </w:p>
    <w:p w14:paraId="2E6B9990" w14:textId="77777777" w:rsidR="00E005CB" w:rsidRPr="00E005CB" w:rsidRDefault="00E005CB" w:rsidP="00E005CB">
      <w:pPr>
        <w:pStyle w:val="BodyText2"/>
        <w:ind w:left="1134" w:hanging="1134"/>
        <w:rPr>
          <w:rFonts w:cs="Arial"/>
          <w:szCs w:val="24"/>
        </w:rPr>
      </w:pPr>
      <w:r w:rsidRPr="00E005CB">
        <w:rPr>
          <w:rFonts w:cs="Arial"/>
          <w:szCs w:val="24"/>
        </w:rPr>
        <w:t>LFTs</w:t>
      </w:r>
      <w:r w:rsidRPr="00E005CB">
        <w:rPr>
          <w:rFonts w:cs="Arial"/>
          <w:szCs w:val="24"/>
        </w:rPr>
        <w:tab/>
        <w:t>Liver Function Tests</w:t>
      </w:r>
    </w:p>
    <w:p w14:paraId="70EEF151" w14:textId="77777777" w:rsidR="00E005CB" w:rsidRPr="00E005CB" w:rsidRDefault="00E005CB" w:rsidP="00E005CB">
      <w:pPr>
        <w:pStyle w:val="BodyText2"/>
        <w:ind w:left="1134" w:hanging="1134"/>
        <w:rPr>
          <w:rFonts w:cs="Arial"/>
          <w:szCs w:val="24"/>
        </w:rPr>
      </w:pPr>
      <w:r w:rsidRPr="00E005CB">
        <w:rPr>
          <w:rFonts w:cs="Arial"/>
          <w:szCs w:val="24"/>
        </w:rPr>
        <w:t>LMWH</w:t>
      </w:r>
      <w:r w:rsidRPr="00E005CB">
        <w:rPr>
          <w:rFonts w:cs="Arial"/>
          <w:szCs w:val="24"/>
        </w:rPr>
        <w:tab/>
        <w:t>Low molecular weight heparin</w:t>
      </w:r>
    </w:p>
    <w:p w14:paraId="19AC9F9F" w14:textId="77777777" w:rsidR="00E005CB" w:rsidRPr="00E005CB" w:rsidRDefault="00E005CB" w:rsidP="00E005CB">
      <w:pPr>
        <w:pStyle w:val="BodyText2"/>
        <w:ind w:left="1134" w:hanging="1134"/>
        <w:rPr>
          <w:rFonts w:cs="Arial"/>
          <w:szCs w:val="24"/>
        </w:rPr>
      </w:pPr>
      <w:r w:rsidRPr="00E005CB">
        <w:rPr>
          <w:rFonts w:cs="Arial"/>
          <w:szCs w:val="24"/>
        </w:rPr>
        <w:t>NRLS</w:t>
      </w:r>
      <w:r w:rsidRPr="00E005CB">
        <w:rPr>
          <w:rFonts w:cs="Arial"/>
          <w:szCs w:val="24"/>
        </w:rPr>
        <w:tab/>
        <w:t>National Reporting and Learning System</w:t>
      </w:r>
    </w:p>
    <w:p w14:paraId="0E745F85" w14:textId="77777777" w:rsidR="00E005CB" w:rsidRPr="00E005CB" w:rsidRDefault="00E005CB" w:rsidP="00E005CB">
      <w:pPr>
        <w:pStyle w:val="BodyText2"/>
        <w:ind w:left="1134" w:hanging="1134"/>
        <w:rPr>
          <w:rFonts w:cs="Arial"/>
          <w:szCs w:val="24"/>
        </w:rPr>
      </w:pPr>
      <w:r w:rsidRPr="00E005CB">
        <w:rPr>
          <w:rFonts w:cs="Arial"/>
          <w:szCs w:val="24"/>
        </w:rPr>
        <w:t>SPC</w:t>
      </w:r>
      <w:r w:rsidRPr="00E005CB">
        <w:rPr>
          <w:rFonts w:cs="Arial"/>
          <w:szCs w:val="24"/>
        </w:rPr>
        <w:tab/>
        <w:t>Summary of Product Characteristics</w:t>
      </w:r>
    </w:p>
    <w:p w14:paraId="2181331B" w14:textId="77777777" w:rsidR="00E005CB" w:rsidRPr="00E005CB" w:rsidRDefault="00E005CB" w:rsidP="00E005CB">
      <w:pPr>
        <w:pStyle w:val="BodyText2"/>
        <w:ind w:left="1134" w:hanging="1134"/>
        <w:rPr>
          <w:rFonts w:cs="Arial"/>
          <w:szCs w:val="24"/>
        </w:rPr>
      </w:pPr>
      <w:r w:rsidRPr="00E005CB">
        <w:rPr>
          <w:rFonts w:cs="Arial"/>
          <w:szCs w:val="24"/>
        </w:rPr>
        <w:t>U&amp;E’s</w:t>
      </w:r>
      <w:r w:rsidRPr="00E005CB">
        <w:rPr>
          <w:rFonts w:cs="Arial"/>
          <w:szCs w:val="24"/>
        </w:rPr>
        <w:tab/>
        <w:t>Urea and Electrolytes</w:t>
      </w:r>
    </w:p>
    <w:p w14:paraId="749258B7" w14:textId="77777777" w:rsidR="00E005CB" w:rsidRPr="00E005CB" w:rsidRDefault="00E005CB" w:rsidP="00E005CB">
      <w:pPr>
        <w:pStyle w:val="BodyText2"/>
        <w:ind w:left="1134" w:hanging="1134"/>
        <w:rPr>
          <w:rFonts w:cs="Arial"/>
          <w:szCs w:val="24"/>
        </w:rPr>
      </w:pPr>
      <w:r w:rsidRPr="00E005CB">
        <w:rPr>
          <w:rFonts w:cs="Arial"/>
          <w:szCs w:val="24"/>
        </w:rPr>
        <w:t>VTE</w:t>
      </w:r>
      <w:r w:rsidRPr="00E005CB">
        <w:rPr>
          <w:rFonts w:cs="Arial"/>
          <w:szCs w:val="24"/>
        </w:rPr>
        <w:tab/>
        <w:t>venous thromboembolism</w:t>
      </w:r>
    </w:p>
    <w:p w14:paraId="4B388AFF" w14:textId="77777777" w:rsidR="009B3F14" w:rsidRDefault="009B3F14" w:rsidP="005B4CC2">
      <w:pPr>
        <w:pStyle w:val="BodyText2"/>
        <w:rPr>
          <w:rFonts w:cs="Arial"/>
          <w:szCs w:val="24"/>
          <w:lang w:val="en-US"/>
        </w:rPr>
      </w:pPr>
    </w:p>
    <w:p w14:paraId="2BFFEB79" w14:textId="77777777" w:rsidR="00161D95" w:rsidRDefault="00161D95">
      <w:pPr>
        <w:rPr>
          <w:b/>
        </w:rPr>
      </w:pPr>
      <w:bookmarkStart w:id="15" w:name="_Toc428263362"/>
      <w:bookmarkStart w:id="16" w:name="_Toc522284743"/>
      <w:bookmarkStart w:id="17" w:name="_Toc170131880"/>
      <w:r>
        <w:br w:type="page"/>
      </w:r>
    </w:p>
    <w:p w14:paraId="087E12A6" w14:textId="4B197DE7" w:rsidR="00161D95" w:rsidRPr="00FE3A2F" w:rsidRDefault="00161D95" w:rsidP="00161D95">
      <w:pPr>
        <w:pStyle w:val="Heading1"/>
      </w:pPr>
      <w:bookmarkStart w:id="18" w:name="_Toc184021141"/>
      <w:r w:rsidRPr="00FE3A2F">
        <w:lastRenderedPageBreak/>
        <w:t>Background</w:t>
      </w:r>
      <w:bookmarkEnd w:id="15"/>
      <w:bookmarkEnd w:id="16"/>
      <w:bookmarkEnd w:id="17"/>
      <w:bookmarkEnd w:id="18"/>
    </w:p>
    <w:p w14:paraId="679E2BCA" w14:textId="77777777" w:rsidR="00161D95" w:rsidRPr="00FE3A2F" w:rsidRDefault="00161D95" w:rsidP="00161D95"/>
    <w:p w14:paraId="3A02DB25" w14:textId="77777777" w:rsidR="00161D95" w:rsidRPr="00FE3A2F" w:rsidRDefault="00161D95" w:rsidP="00161D95">
      <w:r w:rsidRPr="00FE3A2F">
        <w:t>Low molecular weight heparins (LMWHs) are used in the prevention and treatment of venous thromboembolism (VTE) and treatment of acute coronary syndromes.  These medicines are given parenterally.  LMWHs offer many advantages over regular unfractionated heparin.  They are seen as effective, with a low risk of heparin-induced thrombocytopaenia.  Routine monitoring of anti-Factor Xa (anti-Xa) activity is not usually required during treatment with LMWHs, although it may be necessary in patients at increased risk of bleeding, such as those with renal impairment and those who are under or overweight.</w:t>
      </w:r>
    </w:p>
    <w:p w14:paraId="1A9DF076" w14:textId="77777777" w:rsidR="00161D95" w:rsidRPr="00FE3A2F" w:rsidRDefault="00161D95" w:rsidP="00161D95"/>
    <w:p w14:paraId="381EA66D" w14:textId="115B6CEE" w:rsidR="00161D95" w:rsidRPr="00FE3A2F" w:rsidRDefault="00161D95" w:rsidP="00161D95">
      <w:r w:rsidRPr="00FE3A2F">
        <w:t xml:space="preserve">Patients can potentially be discharged home with </w:t>
      </w:r>
      <w:r w:rsidR="000A5644" w:rsidRPr="000A5644">
        <w:t>enoxaparin</w:t>
      </w:r>
      <w:r w:rsidR="000A5644">
        <w:t xml:space="preserve"> </w:t>
      </w:r>
      <w:r w:rsidRPr="00FE3A2F">
        <w:t>because of its long duration of action and subcutaneous administration, thereby shortening their stay in hospital.</w:t>
      </w:r>
    </w:p>
    <w:p w14:paraId="0AE368FC" w14:textId="77777777" w:rsidR="00161D95" w:rsidRPr="00FE3A2F" w:rsidRDefault="00161D95" w:rsidP="00161D95"/>
    <w:p w14:paraId="513F46AA" w14:textId="77777777" w:rsidR="00161D95" w:rsidRPr="00FE3A2F" w:rsidRDefault="00161D95" w:rsidP="00161D95">
      <w:r w:rsidRPr="00FE3A2F">
        <w:t xml:space="preserve">When used for the treatment of a thromboembolic event, the dose is dependent on the weight of the patient. Treatment dose regimens are also dependent on the clinical indication for therapy – under-dosing can lead to an increased risk of a further thromboembolic event, while overdosing can increase the risk of bleeding, leading to serious consequences for the patient. </w:t>
      </w:r>
    </w:p>
    <w:p w14:paraId="0386CDAA" w14:textId="77777777" w:rsidR="00161D95" w:rsidRPr="00FE3A2F" w:rsidRDefault="00161D95" w:rsidP="00161D95"/>
    <w:p w14:paraId="658CA76E" w14:textId="77777777" w:rsidR="00161D95" w:rsidRPr="00FE3A2F" w:rsidRDefault="00161D95" w:rsidP="00161D95">
      <w:r w:rsidRPr="00FE3A2F">
        <w:t>Enoxaparin is the LMWH of choice for the treatment of VTE at Blackpool Teaching Hospitals, therefore this procedure details the dosing regimens for Enoxaparin only.</w:t>
      </w:r>
    </w:p>
    <w:p w14:paraId="60001B66" w14:textId="77777777" w:rsidR="00161D95" w:rsidRPr="00FE3A2F" w:rsidRDefault="00161D95" w:rsidP="00161D95"/>
    <w:p w14:paraId="7F27FC3B" w14:textId="77777777" w:rsidR="00161D95" w:rsidRPr="00FE3A2F" w:rsidRDefault="00161D95" w:rsidP="00161D95">
      <w:pPr>
        <w:pStyle w:val="Heading2"/>
      </w:pPr>
      <w:bookmarkStart w:id="19" w:name="_Toc522284744"/>
      <w:bookmarkStart w:id="20" w:name="_Toc184021142"/>
      <w:r w:rsidRPr="00FE3A2F">
        <w:t>Drug Information</w:t>
      </w:r>
      <w:bookmarkEnd w:id="19"/>
      <w:bookmarkEnd w:id="20"/>
    </w:p>
    <w:p w14:paraId="3C045E04" w14:textId="77777777" w:rsidR="00161D95" w:rsidRPr="00FE3A2F" w:rsidRDefault="00161D95" w:rsidP="00161D95"/>
    <w:p w14:paraId="0E979F97" w14:textId="77777777" w:rsidR="00161D95" w:rsidRPr="00FE3A2F" w:rsidRDefault="00161D95" w:rsidP="00161D95">
      <w:r w:rsidRPr="00FE3A2F">
        <w:t>British National Formulary (BNF) (intranet)</w:t>
      </w:r>
    </w:p>
    <w:p w14:paraId="69D2190D" w14:textId="77777777" w:rsidR="00161D95" w:rsidRPr="00FE3A2F" w:rsidRDefault="00161D95" w:rsidP="00161D95"/>
    <w:p w14:paraId="3C180694" w14:textId="497BC93E" w:rsidR="00161D95" w:rsidRPr="00FE3A2F" w:rsidRDefault="00161D95" w:rsidP="00161D95">
      <w:r w:rsidRPr="00FE3A2F">
        <w:t xml:space="preserve">Enoxaparin - Summary of Product Characteristics (SPC) </w:t>
      </w:r>
      <w:sdt>
        <w:sdtPr>
          <w:id w:val="936334911"/>
          <w:citation/>
        </w:sdtPr>
        <w:sdtEndPr/>
        <w:sdtContent>
          <w:r w:rsidR="00E55429">
            <w:fldChar w:fldCharType="begin"/>
          </w:r>
          <w:r w:rsidR="00E55429">
            <w:instrText xml:space="preserve"> CITATION emc226 \l 2057 </w:instrText>
          </w:r>
          <w:r w:rsidR="00E55429">
            <w:fldChar w:fldCharType="separate"/>
          </w:r>
          <w:r w:rsidR="00E85596">
            <w:rPr>
              <w:noProof/>
            </w:rPr>
            <w:t>(1)</w:t>
          </w:r>
          <w:r w:rsidR="00E55429">
            <w:fldChar w:fldCharType="end"/>
          </w:r>
        </w:sdtContent>
      </w:sdt>
    </w:p>
    <w:p w14:paraId="00C1231A" w14:textId="77777777" w:rsidR="00161D95" w:rsidRPr="00FE3A2F" w:rsidRDefault="00161D95" w:rsidP="00161D95"/>
    <w:p w14:paraId="0C6C4CED" w14:textId="77777777" w:rsidR="00161D95" w:rsidRPr="00FE3A2F" w:rsidRDefault="00161D95" w:rsidP="00E55429">
      <w:pPr>
        <w:ind w:left="567"/>
      </w:pPr>
      <w:hyperlink r:id="rId12" w:history="1">
        <w:r w:rsidRPr="00FE3A2F">
          <w:rPr>
            <w:rStyle w:val="Hyperlink"/>
          </w:rPr>
          <w:t>Inhixa 10,000 IU (100 mg) in 1.0 mL solution for injection in pre-filled syringe - Summary of Product Characteristics (SmPC) - (emc) (medicines.org.uk)</w:t>
        </w:r>
      </w:hyperlink>
    </w:p>
    <w:p w14:paraId="31CFE795" w14:textId="77777777" w:rsidR="00161D95" w:rsidRPr="00FE3A2F" w:rsidRDefault="00161D95" w:rsidP="00161D95"/>
    <w:p w14:paraId="0FF4090D" w14:textId="77777777" w:rsidR="00161D95" w:rsidRDefault="00161D95" w:rsidP="00161D95">
      <w:r w:rsidRPr="00FE3A2F">
        <w:t xml:space="preserve">Enoxaparin - Patient Information Leaflet </w:t>
      </w:r>
    </w:p>
    <w:p w14:paraId="30C4275A" w14:textId="77777777" w:rsidR="00E55429" w:rsidRPr="00FE3A2F" w:rsidRDefault="00E55429" w:rsidP="00161D95"/>
    <w:p w14:paraId="200BDF40" w14:textId="77777777" w:rsidR="00161D95" w:rsidRPr="00FE3A2F" w:rsidRDefault="00161D95" w:rsidP="005072A9">
      <w:pPr>
        <w:ind w:left="567"/>
      </w:pPr>
      <w:hyperlink r:id="rId13" w:anchor="about-medicine" w:history="1">
        <w:r w:rsidRPr="00FE3A2F">
          <w:rPr>
            <w:rStyle w:val="Hyperlink"/>
          </w:rPr>
          <w:t>Inhixa 10,000 IU (100 mg) in 1.0 mL solution for injection in pre-filled syringe - Patient Information Leaflet (PIL) - (emc) (medicines.org.uk)</w:t>
        </w:r>
      </w:hyperlink>
    </w:p>
    <w:p w14:paraId="028059D5" w14:textId="77777777" w:rsidR="00161D95" w:rsidRDefault="00161D95" w:rsidP="00161D95"/>
    <w:p w14:paraId="3B735C27" w14:textId="77777777" w:rsidR="00161D95" w:rsidRDefault="00161D95">
      <w:pPr>
        <w:rPr>
          <w:b/>
        </w:rPr>
      </w:pPr>
      <w:r>
        <w:br w:type="page"/>
      </w:r>
    </w:p>
    <w:p w14:paraId="6F3610DA" w14:textId="25D6C5EA" w:rsidR="00161D95" w:rsidRPr="00C40351" w:rsidRDefault="00161D95" w:rsidP="00161D95">
      <w:pPr>
        <w:pStyle w:val="Heading1"/>
      </w:pPr>
      <w:bookmarkStart w:id="21" w:name="_Toc184021143"/>
      <w:r w:rsidRPr="00DF57F7">
        <w:lastRenderedPageBreak/>
        <w:t>Responsibilities (Ownership and Accountability)</w:t>
      </w:r>
      <w:bookmarkEnd w:id="21"/>
    </w:p>
    <w:p w14:paraId="08315E8E" w14:textId="77777777" w:rsidR="00161D95" w:rsidRDefault="00161D95" w:rsidP="00161D95">
      <w:pPr>
        <w:pStyle w:val="BodyText2"/>
        <w:rPr>
          <w:rFonts w:cs="Arial"/>
          <w:szCs w:val="24"/>
          <w:lang w:val="en-US"/>
        </w:rPr>
      </w:pPr>
    </w:p>
    <w:p w14:paraId="1102E55C" w14:textId="77777777" w:rsidR="00161D95" w:rsidRPr="00FE3A2F" w:rsidRDefault="00161D95" w:rsidP="00161D95">
      <w:pPr>
        <w:pStyle w:val="Heading2"/>
      </w:pPr>
      <w:bookmarkStart w:id="22" w:name="_Toc423610318"/>
      <w:bookmarkStart w:id="23" w:name="_Toc428263364"/>
      <w:bookmarkStart w:id="24" w:name="_Toc522284745"/>
      <w:bookmarkStart w:id="25" w:name="_Toc184021144"/>
      <w:r w:rsidRPr="00FE3A2F">
        <w:t>Directorate Manager’s / Head of Services Responsibility</w:t>
      </w:r>
      <w:bookmarkEnd w:id="22"/>
      <w:bookmarkEnd w:id="23"/>
      <w:bookmarkEnd w:id="24"/>
      <w:bookmarkEnd w:id="25"/>
    </w:p>
    <w:p w14:paraId="3725B342" w14:textId="77777777" w:rsidR="00161D95" w:rsidRPr="00FE3A2F" w:rsidRDefault="00161D95" w:rsidP="00161D95"/>
    <w:p w14:paraId="3C5ABFFC" w14:textId="0340960C" w:rsidR="00161D95" w:rsidRPr="00FE3A2F" w:rsidRDefault="00161D95" w:rsidP="00161D95">
      <w:pPr>
        <w:pStyle w:val="BulletLevel1"/>
      </w:pPr>
      <w:r w:rsidRPr="00FE3A2F">
        <w:t xml:space="preserve">It is the responsibility of the Directorate Managers / Head of Services to ensure the availability of appropriate weighing equipment.  Hoists or under-bed weighing scales must be available for patients who are bedbound or too ill. </w:t>
      </w:r>
      <w:r w:rsidR="005072A9">
        <w:t xml:space="preserve"> </w:t>
      </w:r>
      <w:r w:rsidRPr="00FE3A2F">
        <w:t xml:space="preserve">Weighing scales which are broken or unreliable must be removed and replaced. </w:t>
      </w:r>
      <w:r w:rsidR="005072A9">
        <w:t xml:space="preserve"> </w:t>
      </w:r>
      <w:r w:rsidRPr="00FE3A2F">
        <w:t>Risk department provide a weighing service for community for restricted mobility patients.</w:t>
      </w:r>
    </w:p>
    <w:p w14:paraId="609A23F5" w14:textId="380CD0AD" w:rsidR="00161D95" w:rsidRPr="00FE3A2F" w:rsidRDefault="00161D95" w:rsidP="00161D95">
      <w:pPr>
        <w:pStyle w:val="BulletLevel1"/>
      </w:pPr>
      <w:r w:rsidRPr="00FE3A2F">
        <w:t xml:space="preserve">Healthcare staff with responsibilities of weighing patients must have training on the correct weighing procedure, especially in patients with poor mobility.  </w:t>
      </w:r>
      <w:r w:rsidR="005072A9" w:rsidRPr="00FE3A2F">
        <w:t>Also,</w:t>
      </w:r>
      <w:r w:rsidRPr="00FE3A2F">
        <w:t xml:space="preserve"> they must have guidance on how to use the weighing equipment.</w:t>
      </w:r>
    </w:p>
    <w:p w14:paraId="1C5F0498" w14:textId="12B57500" w:rsidR="00161D95" w:rsidRPr="00FE3A2F" w:rsidRDefault="00161D95" w:rsidP="00161D95">
      <w:pPr>
        <w:pStyle w:val="BulletLevel1"/>
      </w:pPr>
      <w:r w:rsidRPr="00FE3A2F">
        <w:t>Staff must have access to the information on weight-based dosing to check prescriptions.</w:t>
      </w:r>
    </w:p>
    <w:p w14:paraId="044002EE" w14:textId="77777777" w:rsidR="00161D95" w:rsidRPr="00FE3A2F" w:rsidRDefault="00161D95" w:rsidP="00161D95"/>
    <w:p w14:paraId="26BD116B" w14:textId="77777777" w:rsidR="00161D95" w:rsidRPr="00FE3A2F" w:rsidRDefault="00161D95" w:rsidP="00161D95">
      <w:pPr>
        <w:pStyle w:val="Heading2"/>
      </w:pPr>
      <w:bookmarkStart w:id="26" w:name="_Toc428263365"/>
      <w:bookmarkStart w:id="27" w:name="_Toc522284746"/>
      <w:bookmarkStart w:id="28" w:name="_Toc184021145"/>
      <w:r w:rsidRPr="00FE3A2F">
        <w:t>Prescriber’s Responsibility</w:t>
      </w:r>
      <w:bookmarkEnd w:id="26"/>
      <w:bookmarkEnd w:id="27"/>
      <w:bookmarkEnd w:id="28"/>
    </w:p>
    <w:p w14:paraId="3E520F1C" w14:textId="77777777" w:rsidR="00161D95" w:rsidRPr="00FE3A2F" w:rsidRDefault="00161D95" w:rsidP="00161D95"/>
    <w:p w14:paraId="6D1A8BD2" w14:textId="3ED1350A" w:rsidR="00161D95" w:rsidRPr="00FE3A2F" w:rsidRDefault="00161D95" w:rsidP="00161D95">
      <w:pPr>
        <w:pStyle w:val="BulletLevel1"/>
      </w:pPr>
      <w:r w:rsidRPr="00FE3A2F">
        <w:t>The prescriber must check for history of bleeding risk, acute peptic symptoms or other contraindications.</w:t>
      </w:r>
    </w:p>
    <w:p w14:paraId="0AAD389C" w14:textId="5EAE5F87" w:rsidR="00161D95" w:rsidRPr="00FE3A2F" w:rsidRDefault="00161D95" w:rsidP="00161D95">
      <w:pPr>
        <w:ind w:left="567"/>
      </w:pPr>
      <w:r w:rsidRPr="00FE3A2F">
        <w:t>The prescriber must individually assess the patient as to whether the benefits outweigh the risks for pharmacological or clinical contraindications to the use of LMWHs.  Patient harm has resulted from using LMWHs when contraindicated.</w:t>
      </w:r>
    </w:p>
    <w:p w14:paraId="32618134" w14:textId="77777777" w:rsidR="00161D95" w:rsidRPr="00FE3A2F" w:rsidRDefault="00161D95" w:rsidP="00161D95"/>
    <w:p w14:paraId="61A67B22" w14:textId="6F53A5B1" w:rsidR="00161D95" w:rsidRPr="00FE3A2F" w:rsidRDefault="00161D95" w:rsidP="00161D95">
      <w:pPr>
        <w:pStyle w:val="BulletLevel1"/>
      </w:pPr>
      <w:r w:rsidRPr="00FE3A2F">
        <w:t xml:space="preserve">Circumstances when the use of LMWHs are contraindicated include (but are not limited to): </w:t>
      </w:r>
    </w:p>
    <w:p w14:paraId="78A81151" w14:textId="77777777" w:rsidR="00161D95" w:rsidRPr="00FE3A2F" w:rsidRDefault="00161D95" w:rsidP="00161D95">
      <w:pPr>
        <w:pStyle w:val="BulletLevel2"/>
      </w:pPr>
      <w:r w:rsidRPr="00FE3A2F">
        <w:t xml:space="preserve">active bleeding; </w:t>
      </w:r>
    </w:p>
    <w:p w14:paraId="62AD4A68" w14:textId="77777777" w:rsidR="00161D95" w:rsidRPr="00FE3A2F" w:rsidRDefault="00161D95" w:rsidP="00161D95">
      <w:pPr>
        <w:pStyle w:val="BulletLevel2"/>
      </w:pPr>
      <w:r w:rsidRPr="00FE3A2F">
        <w:t xml:space="preserve">acquired bleeding disorder (such as acute liver failure); </w:t>
      </w:r>
    </w:p>
    <w:p w14:paraId="2D0C6CE5" w14:textId="77777777" w:rsidR="00161D95" w:rsidRPr="00FE3A2F" w:rsidRDefault="00161D95" w:rsidP="00161D95">
      <w:pPr>
        <w:pStyle w:val="BulletLevel2"/>
      </w:pPr>
      <w:r w:rsidRPr="00FE3A2F">
        <w:t>platelets &lt; 75 *10</w:t>
      </w:r>
      <w:r w:rsidRPr="00FE3A2F">
        <w:rPr>
          <w:vertAlign w:val="superscript"/>
        </w:rPr>
        <w:t>9</w:t>
      </w:r>
      <w:r w:rsidRPr="00FE3A2F">
        <w:t>/L</w:t>
      </w:r>
    </w:p>
    <w:p w14:paraId="50BA635C" w14:textId="77777777" w:rsidR="00161D95" w:rsidRPr="00FE3A2F" w:rsidRDefault="00161D95" w:rsidP="00161D95">
      <w:pPr>
        <w:pStyle w:val="BulletLevel2"/>
      </w:pPr>
      <w:r w:rsidRPr="00FE3A2F">
        <w:t xml:space="preserve">concurrent use of anticoagulants known to increase risk of bleeding; </w:t>
      </w:r>
    </w:p>
    <w:p w14:paraId="198295EB" w14:textId="77777777" w:rsidR="00161D95" w:rsidRPr="00FE3A2F" w:rsidRDefault="00161D95" w:rsidP="00161D95">
      <w:pPr>
        <w:pStyle w:val="BulletLevel2"/>
      </w:pPr>
      <w:r w:rsidRPr="00FE3A2F">
        <w:t xml:space="preserve">interacting medicines; </w:t>
      </w:r>
    </w:p>
    <w:p w14:paraId="41BE1583" w14:textId="77777777" w:rsidR="00161D95" w:rsidRPr="00FE3A2F" w:rsidRDefault="00161D95" w:rsidP="00161D95">
      <w:pPr>
        <w:pStyle w:val="BulletLevel2"/>
      </w:pPr>
      <w:r w:rsidRPr="00FE3A2F">
        <w:t>or, lumbar puncture / epidural / spinal anaesthesia within the previous four hours, or expected within the next 12 hours.</w:t>
      </w:r>
    </w:p>
    <w:p w14:paraId="682D6B25" w14:textId="3676AA09" w:rsidR="00161D95" w:rsidRPr="00FE3A2F" w:rsidRDefault="00161D95" w:rsidP="00161D95">
      <w:pPr>
        <w:pStyle w:val="BulletLevel1"/>
      </w:pPr>
      <w:r w:rsidRPr="00FE3A2F">
        <w:t xml:space="preserve">The prescriber must check if the patient is on drugs that may prolong bleeding time or affect platelet function.  The use of concurrent anti-platelets or other interacting medicines with a LMWH (enoxaparin) must outweigh the risk of bleeding.  If the clinical decision is to co-prescribe it must be clearly documented in the patients’ medical notes, with the clinical justification. </w:t>
      </w:r>
    </w:p>
    <w:p w14:paraId="59ECD075" w14:textId="114DC3A0" w:rsidR="00161D95" w:rsidRPr="00FE3A2F" w:rsidRDefault="00161D95" w:rsidP="00161D95">
      <w:pPr>
        <w:pStyle w:val="BulletLevel1"/>
      </w:pPr>
      <w:r w:rsidRPr="00FE3A2F">
        <w:t>The prescriber must understand the dosing requirements for vulnerable patients (renally impaired, pregnant, children).</w:t>
      </w:r>
    </w:p>
    <w:p w14:paraId="1A34545D" w14:textId="30333EC5" w:rsidR="00161D95" w:rsidRPr="00FE3A2F" w:rsidRDefault="00161D95" w:rsidP="00161D95">
      <w:pPr>
        <w:pStyle w:val="BulletLevel1"/>
      </w:pPr>
      <w:r w:rsidRPr="00FE3A2F">
        <w:t xml:space="preserve">The prescriber must prescribe an enoxaparin dose based on an up to date and accurate (see </w:t>
      </w:r>
      <w:r w:rsidR="002E1FDE">
        <w:t>6.4</w:t>
      </w:r>
      <w:r w:rsidRPr="00FE3A2F">
        <w:t>) patient weight and renal function.</w:t>
      </w:r>
    </w:p>
    <w:p w14:paraId="4CD5DB8F" w14:textId="0530BEE8" w:rsidR="00161D95" w:rsidRPr="00FE3A2F" w:rsidRDefault="00161D95" w:rsidP="00161D95">
      <w:pPr>
        <w:pStyle w:val="BulletLevel1"/>
      </w:pPr>
      <w:r w:rsidRPr="00FE3A2F">
        <w:t>The prescriber must give patients adequate information about their condition and their treatment and ensure it is understood, by allowing them time to ask questions.</w:t>
      </w:r>
    </w:p>
    <w:p w14:paraId="28259C0A" w14:textId="232148EB" w:rsidR="00161D95" w:rsidRPr="00FE3A2F" w:rsidRDefault="00161D95" w:rsidP="00161D95">
      <w:pPr>
        <w:pStyle w:val="BulletLevel1"/>
      </w:pPr>
      <w:r w:rsidRPr="00FE3A2F">
        <w:lastRenderedPageBreak/>
        <w:t xml:space="preserve">The prescriber who initiates enoxaparin must arrange for the patient to have baseline blood tests Full Blood Count (FBC), Liver Function Tests (LFTs); Renal Function, Urea and Electrolytes (U&amp;E’s) and ensure the results are reviewed. These tests should be repeated if there is a change in patients’ clinical condition. Platelet count should be repeated 24 hours after initiation of enoxaparin.  </w:t>
      </w:r>
    </w:p>
    <w:p w14:paraId="3D085299" w14:textId="16C33BE5" w:rsidR="00161D95" w:rsidRPr="00FE3A2F" w:rsidRDefault="00161D95" w:rsidP="00161D95">
      <w:pPr>
        <w:pStyle w:val="BulletLevel1"/>
      </w:pPr>
      <w:r w:rsidRPr="00FE3A2F">
        <w:t>The prescriber must document in patients notes and communicate to General Practitioner (GP);</w:t>
      </w:r>
    </w:p>
    <w:p w14:paraId="025D0912" w14:textId="77777777" w:rsidR="00161D95" w:rsidRPr="00FE3A2F" w:rsidRDefault="00161D95" w:rsidP="00161D95">
      <w:pPr>
        <w:pStyle w:val="BulletLevel2"/>
      </w:pPr>
      <w:r w:rsidRPr="00FE3A2F">
        <w:t>clinical indication</w:t>
      </w:r>
    </w:p>
    <w:p w14:paraId="463199A2" w14:textId="77777777" w:rsidR="00161D95" w:rsidRPr="00FE3A2F" w:rsidRDefault="00161D95" w:rsidP="00161D95">
      <w:pPr>
        <w:pStyle w:val="BulletLevel2"/>
      </w:pPr>
      <w:r w:rsidRPr="00FE3A2F">
        <w:t>weight</w:t>
      </w:r>
    </w:p>
    <w:p w14:paraId="77DFA821" w14:textId="77777777" w:rsidR="00161D95" w:rsidRPr="00FE3A2F" w:rsidRDefault="00161D95" w:rsidP="00161D95">
      <w:pPr>
        <w:pStyle w:val="BulletLevel2"/>
      </w:pPr>
      <w:r w:rsidRPr="00FE3A2F">
        <w:t>FBC, U&amp;Es and LFTs</w:t>
      </w:r>
    </w:p>
    <w:p w14:paraId="5A41E762" w14:textId="77777777" w:rsidR="00161D95" w:rsidRPr="00FE3A2F" w:rsidRDefault="00161D95" w:rsidP="00161D95">
      <w:pPr>
        <w:pStyle w:val="BulletLevel2"/>
      </w:pPr>
      <w:r w:rsidRPr="00FE3A2F">
        <w:t>renal function (creatinine clearance not eGFR)</w:t>
      </w:r>
    </w:p>
    <w:p w14:paraId="2D567BEF" w14:textId="77777777" w:rsidR="00161D95" w:rsidRPr="00FE3A2F" w:rsidRDefault="00161D95" w:rsidP="00161D95">
      <w:pPr>
        <w:pStyle w:val="BulletLevel2"/>
      </w:pPr>
      <w:r w:rsidRPr="00FE3A2F">
        <w:t>dose</w:t>
      </w:r>
    </w:p>
    <w:p w14:paraId="69DD57CA" w14:textId="77777777" w:rsidR="00161D95" w:rsidRPr="00FE3A2F" w:rsidRDefault="00161D95" w:rsidP="00161D95">
      <w:pPr>
        <w:pStyle w:val="BulletLevel2"/>
      </w:pPr>
      <w:r w:rsidRPr="00FE3A2F">
        <w:t>duration of treatment / therapeutic goal for therapy</w:t>
      </w:r>
    </w:p>
    <w:p w14:paraId="6B7DC3A9" w14:textId="77777777" w:rsidR="00161D95" w:rsidRPr="00FE3A2F" w:rsidRDefault="00161D95" w:rsidP="00161D95">
      <w:pPr>
        <w:pStyle w:val="BulletLevel2"/>
      </w:pPr>
      <w:r w:rsidRPr="00FE3A2F">
        <w:t xml:space="preserve">baseline FBC results </w:t>
      </w:r>
    </w:p>
    <w:p w14:paraId="52C81E15" w14:textId="77777777" w:rsidR="00161D95" w:rsidRPr="00FE3A2F" w:rsidRDefault="00161D95" w:rsidP="00161D95">
      <w:pPr>
        <w:pStyle w:val="BulletLevel2"/>
      </w:pPr>
      <w:r w:rsidRPr="00FE3A2F">
        <w:t>dates for follow up blood tests.</w:t>
      </w:r>
    </w:p>
    <w:p w14:paraId="608778A6" w14:textId="77777777" w:rsidR="00161D95" w:rsidRDefault="00161D95" w:rsidP="005B4CC2">
      <w:pPr>
        <w:pStyle w:val="BodyText2"/>
        <w:rPr>
          <w:rFonts w:cs="Arial"/>
          <w:szCs w:val="24"/>
          <w:lang w:val="en-US"/>
        </w:rPr>
      </w:pPr>
    </w:p>
    <w:p w14:paraId="4FDFD7BB" w14:textId="77777777" w:rsidR="00B7715E" w:rsidRPr="00FE3A2F" w:rsidRDefault="00B7715E" w:rsidP="00B7715E">
      <w:pPr>
        <w:pStyle w:val="Heading2"/>
      </w:pPr>
      <w:bookmarkStart w:id="29" w:name="_Toc428263373"/>
      <w:bookmarkStart w:id="30" w:name="_Toc522284755"/>
      <w:bookmarkStart w:id="31" w:name="_Toc184021146"/>
      <w:r w:rsidRPr="00FE3A2F">
        <w:t>Pharmacy Responsibility</w:t>
      </w:r>
      <w:bookmarkEnd w:id="29"/>
      <w:bookmarkEnd w:id="30"/>
      <w:bookmarkEnd w:id="31"/>
    </w:p>
    <w:p w14:paraId="5963F587" w14:textId="77777777" w:rsidR="00B7715E" w:rsidRPr="00FE3A2F" w:rsidRDefault="00B7715E" w:rsidP="00B7715E"/>
    <w:p w14:paraId="6ACF18A7" w14:textId="5B8C5737" w:rsidR="00B7715E" w:rsidRPr="00FE3A2F" w:rsidRDefault="00B7715E" w:rsidP="00B7715E">
      <w:r w:rsidRPr="00FE3A2F">
        <w:t xml:space="preserve">The pharmacy staff will check that a safe dose of enoxaparin is dispensed based on information provided by prescriber in section </w:t>
      </w:r>
      <w:r w:rsidR="00C073F8">
        <w:t>5.2</w:t>
      </w:r>
      <w:r w:rsidRPr="00FE3A2F">
        <w:t>.</w:t>
      </w:r>
    </w:p>
    <w:p w14:paraId="25F1ABFE" w14:textId="77777777" w:rsidR="00B7715E" w:rsidRPr="00FE3A2F" w:rsidRDefault="00B7715E" w:rsidP="00B7715E"/>
    <w:p w14:paraId="435FE359" w14:textId="77777777" w:rsidR="00B7715E" w:rsidRPr="00FE3A2F" w:rsidRDefault="00B7715E" w:rsidP="00B7715E">
      <w:r w:rsidRPr="00FE3A2F">
        <w:t>The dispensed prescription must include a Patient information leaflet.</w:t>
      </w:r>
    </w:p>
    <w:p w14:paraId="50A1B063" w14:textId="77777777" w:rsidR="00B7715E" w:rsidRPr="00FE3A2F" w:rsidRDefault="00B7715E" w:rsidP="00B7715E"/>
    <w:p w14:paraId="65F8A4BF" w14:textId="77777777" w:rsidR="00B7715E" w:rsidRPr="00FE3A2F" w:rsidRDefault="00B7715E" w:rsidP="00B7715E">
      <w:r w:rsidRPr="00FE3A2F">
        <w:t>The pharmacy will monitor compliance by recording intervention data on clinical incidents and near miss incidents.  Data will be reported to Medicines Management Committee.</w:t>
      </w:r>
    </w:p>
    <w:p w14:paraId="0ED52AFA" w14:textId="77777777" w:rsidR="00B7715E" w:rsidRPr="00FE3A2F" w:rsidRDefault="00B7715E" w:rsidP="00B7715E"/>
    <w:p w14:paraId="22DE6867" w14:textId="77777777" w:rsidR="00B7715E" w:rsidRPr="00FE3A2F" w:rsidRDefault="00B7715E" w:rsidP="00B7715E">
      <w:pPr>
        <w:pStyle w:val="Heading2"/>
      </w:pPr>
      <w:bookmarkStart w:id="32" w:name="_Toc428263374"/>
      <w:bookmarkStart w:id="33" w:name="_Toc522284756"/>
      <w:bookmarkStart w:id="34" w:name="_Toc184021147"/>
      <w:r w:rsidRPr="00FE3A2F">
        <w:t>Hospital Nursing Staff Responsibility</w:t>
      </w:r>
      <w:bookmarkEnd w:id="32"/>
      <w:bookmarkEnd w:id="33"/>
      <w:bookmarkEnd w:id="34"/>
    </w:p>
    <w:p w14:paraId="4957F802" w14:textId="77777777" w:rsidR="00B7715E" w:rsidRPr="00FE3A2F" w:rsidRDefault="00B7715E" w:rsidP="00B7715E"/>
    <w:p w14:paraId="4ED22E3B" w14:textId="3C5EEC36" w:rsidR="00B7715E" w:rsidRPr="00FE3A2F" w:rsidRDefault="00B7715E" w:rsidP="00B7715E">
      <w:r w:rsidRPr="00FE3A2F">
        <w:t>It is the responsibility of nursing staff to ensure a safe dose of enoxaparin is administered whether they are administering or if the patients is self-administering enoxaparin as per the Self Administration of Medications Policy (</w:t>
      </w:r>
      <w:hyperlink r:id="rId14" w:history="1">
        <w:r w:rsidRPr="00FE3A2F">
          <w:rPr>
            <w:rStyle w:val="Hyperlink"/>
          </w:rPr>
          <w:t>CORP/POL/549</w:t>
        </w:r>
      </w:hyperlink>
      <w:sdt>
        <w:sdtPr>
          <w:id w:val="-75822365"/>
          <w:citation/>
        </w:sdtPr>
        <w:sdtEndPr/>
        <w:sdtContent>
          <w:r w:rsidRPr="00FE3A2F">
            <w:fldChar w:fldCharType="begin"/>
          </w:r>
          <w:r w:rsidR="001629CC">
            <w:instrText xml:space="preserve">CITATION COR17 \l 2057 </w:instrText>
          </w:r>
          <w:r w:rsidRPr="00FE3A2F">
            <w:fldChar w:fldCharType="separate"/>
          </w:r>
          <w:r w:rsidR="00E85596">
            <w:rPr>
              <w:noProof/>
            </w:rPr>
            <w:t xml:space="preserve"> (2)</w:t>
          </w:r>
          <w:r w:rsidRPr="00FE3A2F">
            <w:fldChar w:fldCharType="end"/>
          </w:r>
        </w:sdtContent>
      </w:sdt>
      <w:r w:rsidRPr="00FE3A2F">
        <w:t>) whilst in hospital.</w:t>
      </w:r>
    </w:p>
    <w:p w14:paraId="70446E8A" w14:textId="77777777" w:rsidR="00B7715E" w:rsidRPr="00FE3A2F" w:rsidRDefault="00B7715E" w:rsidP="00B7715E"/>
    <w:p w14:paraId="0C518D8F" w14:textId="77777777" w:rsidR="00B7715E" w:rsidRPr="00FE3A2F" w:rsidRDefault="00B7715E" w:rsidP="00B7715E">
      <w:r w:rsidRPr="00FE3A2F">
        <w:t>The nurse must check that the patient has been weighed in hospital and that it is recorded on the prescription.</w:t>
      </w:r>
    </w:p>
    <w:p w14:paraId="2FB0704E" w14:textId="77777777" w:rsidR="00B7715E" w:rsidRPr="00FE3A2F" w:rsidRDefault="00B7715E" w:rsidP="00B7715E"/>
    <w:p w14:paraId="1ED13382" w14:textId="234B7B29" w:rsidR="00B7715E" w:rsidRPr="00FE3A2F" w:rsidRDefault="00B7715E" w:rsidP="00B7715E">
      <w:r w:rsidRPr="00FE3A2F">
        <w:t xml:space="preserve">The nurse must check that the enoxaparin prescribed is correct by checking it with the Enoxaparin Dosing guide section </w:t>
      </w:r>
      <w:r w:rsidR="008B1AF7">
        <w:t>5.2</w:t>
      </w:r>
      <w:r w:rsidR="00BD4813">
        <w:t>.</w:t>
      </w:r>
    </w:p>
    <w:p w14:paraId="5AB1CD87" w14:textId="77777777" w:rsidR="00B7715E" w:rsidRPr="00FE3A2F" w:rsidRDefault="00B7715E" w:rsidP="00B7715E">
      <w:pPr>
        <w:rPr>
          <w:b/>
          <w:u w:val="single"/>
        </w:rPr>
      </w:pPr>
    </w:p>
    <w:p w14:paraId="7226A2EF" w14:textId="77777777" w:rsidR="00B7715E" w:rsidRPr="00FE3A2F" w:rsidRDefault="00B7715E" w:rsidP="00B7715E">
      <w:r w:rsidRPr="00FE3A2F">
        <w:t>Before administration of the second and subsequent doses the nurse must ensure that the prescriber has checked the renal function and has documented the calculated creatinine clearance (Cr Cl) on the prescription chart / patient notes.</w:t>
      </w:r>
    </w:p>
    <w:p w14:paraId="4F45A46F" w14:textId="77777777" w:rsidR="00B7715E" w:rsidRPr="00FE3A2F" w:rsidRDefault="00B7715E" w:rsidP="00B7715E"/>
    <w:p w14:paraId="7A570383" w14:textId="77777777" w:rsidR="00323981" w:rsidRDefault="00323981">
      <w:pPr>
        <w:rPr>
          <w:b/>
        </w:rPr>
      </w:pPr>
      <w:r>
        <w:rPr>
          <w:b/>
        </w:rPr>
        <w:br w:type="page"/>
      </w:r>
    </w:p>
    <w:p w14:paraId="3DC208AC" w14:textId="45E1967D" w:rsidR="00B7715E" w:rsidRPr="00FE3A2F" w:rsidRDefault="00B7715E" w:rsidP="00B7715E">
      <w:r w:rsidRPr="00FE3A2F">
        <w:rPr>
          <w:b/>
        </w:rPr>
        <w:lastRenderedPageBreak/>
        <w:t>At discharge,</w:t>
      </w:r>
      <w:r w:rsidRPr="00FE3A2F">
        <w:t xml:space="preserve"> </w:t>
      </w:r>
      <w:r w:rsidRPr="00FE3A2F">
        <w:rPr>
          <w:b/>
        </w:rPr>
        <w:t>if a district nurse is required</w:t>
      </w:r>
      <w:r w:rsidRPr="00FE3A2F">
        <w:t xml:space="preserve"> to administer enoxaparin, then the hospital nurse must communicate as per Trust procedure </w:t>
      </w:r>
      <w:hyperlink r:id="rId15" w:history="1">
        <w:r w:rsidRPr="00FE3A2F">
          <w:rPr>
            <w:rStyle w:val="Hyperlink"/>
          </w:rPr>
          <w:t xml:space="preserve">CORP/POL/603 </w:t>
        </w:r>
      </w:hyperlink>
      <w:r w:rsidRPr="00FE3A2F">
        <w:t>Discharge of Adult Patients</w:t>
      </w:r>
      <w:sdt>
        <w:sdtPr>
          <w:id w:val="2118095861"/>
          <w:citation/>
        </w:sdtPr>
        <w:sdtEndPr/>
        <w:sdtContent>
          <w:r w:rsidRPr="00FE3A2F">
            <w:fldChar w:fldCharType="begin"/>
          </w:r>
          <w:r w:rsidR="00A82A5C">
            <w:instrText xml:space="preserve">CITATION BTH2181 \l 2057 </w:instrText>
          </w:r>
          <w:r w:rsidRPr="00FE3A2F">
            <w:fldChar w:fldCharType="separate"/>
          </w:r>
          <w:r w:rsidR="00E85596">
            <w:rPr>
              <w:noProof/>
            </w:rPr>
            <w:t xml:space="preserve"> (3)</w:t>
          </w:r>
          <w:r w:rsidRPr="00FE3A2F">
            <w:fldChar w:fldCharType="end"/>
          </w:r>
        </w:sdtContent>
      </w:sdt>
      <w:r w:rsidRPr="00FE3A2F">
        <w:t>.</w:t>
      </w:r>
    </w:p>
    <w:p w14:paraId="57D379DC" w14:textId="77777777" w:rsidR="00B7715E" w:rsidRPr="00FE3A2F" w:rsidRDefault="00B7715E" w:rsidP="00B7715E"/>
    <w:p w14:paraId="66F6E2C8" w14:textId="77777777" w:rsidR="00B7715E" w:rsidRPr="00FE3A2F" w:rsidRDefault="00B7715E" w:rsidP="0081796A">
      <w:pPr>
        <w:pStyle w:val="BulletLevel1"/>
      </w:pPr>
      <w:r w:rsidRPr="00FE3A2F">
        <w:t>The date and time of the last dose.</w:t>
      </w:r>
    </w:p>
    <w:p w14:paraId="13B04617" w14:textId="752503FD" w:rsidR="00B7715E" w:rsidRPr="00FE3A2F" w:rsidRDefault="00B7715E" w:rsidP="0081796A">
      <w:pPr>
        <w:pStyle w:val="BulletLevel1"/>
      </w:pPr>
      <w:r w:rsidRPr="00FE3A2F">
        <w:t xml:space="preserve">All information as per </w:t>
      </w:r>
      <w:r w:rsidR="004C331D">
        <w:t>6.8</w:t>
      </w:r>
      <w:r w:rsidRPr="00FE3A2F">
        <w:t>.</w:t>
      </w:r>
    </w:p>
    <w:p w14:paraId="2A9FACE7" w14:textId="77777777" w:rsidR="00B7715E" w:rsidRPr="00FE3A2F" w:rsidRDefault="00B7715E" w:rsidP="0081796A">
      <w:pPr>
        <w:pStyle w:val="BulletLevel1"/>
      </w:pPr>
      <w:r w:rsidRPr="00FE3A2F">
        <w:t xml:space="preserve">A copy of the e-discharge (give to the patient to give to the district nurse) as it will act as the authorisation from the hospital doctor to administer. </w:t>
      </w:r>
    </w:p>
    <w:p w14:paraId="4AB8EA9E" w14:textId="77777777" w:rsidR="00B7715E" w:rsidRPr="00FE3A2F" w:rsidRDefault="00B7715E" w:rsidP="00B7715E"/>
    <w:p w14:paraId="330D7AED" w14:textId="6B34B5F2" w:rsidR="00B7715E" w:rsidRPr="00FE3A2F" w:rsidRDefault="00B7715E" w:rsidP="00B7715E">
      <w:r w:rsidRPr="00FE3A2F">
        <w:rPr>
          <w:b/>
        </w:rPr>
        <w:t>At discharge, if the patient is to self-administer</w:t>
      </w:r>
      <w:r w:rsidRPr="00FE3A2F">
        <w:t xml:space="preserve"> then they must be given appropriate training and </w:t>
      </w:r>
      <w:r w:rsidR="0081796A" w:rsidRPr="00FE3A2F">
        <w:t>education and</w:t>
      </w:r>
      <w:r w:rsidRPr="00FE3A2F">
        <w:t xml:space="preserve"> have been assessed as competent to undertake the procedure safely.</w:t>
      </w:r>
    </w:p>
    <w:p w14:paraId="2731B389" w14:textId="77777777" w:rsidR="00B7715E" w:rsidRPr="00FE3A2F" w:rsidRDefault="00B7715E" w:rsidP="00B7715E"/>
    <w:p w14:paraId="38C155A7" w14:textId="77777777" w:rsidR="00B7715E" w:rsidRPr="00FE3A2F" w:rsidRDefault="00B7715E" w:rsidP="0081796A">
      <w:pPr>
        <w:pStyle w:val="BulletLevel1"/>
      </w:pPr>
      <w:r w:rsidRPr="00FE3A2F">
        <w:t>Written consent must be obtained and retained in patient’s record.</w:t>
      </w:r>
    </w:p>
    <w:p w14:paraId="3BDCA1B4" w14:textId="52EEB09C" w:rsidR="00B7715E" w:rsidRPr="00FE3A2F" w:rsidRDefault="00B7715E" w:rsidP="00085F3A">
      <w:pPr>
        <w:pStyle w:val="BulletLevel1"/>
      </w:pPr>
      <w:r w:rsidRPr="00FE3A2F">
        <w:t xml:space="preserve">Patients must be supplied with a medicinal sharps bin with yellow lid which are available through </w:t>
      </w:r>
      <w:r w:rsidR="00A944A2">
        <w:t>Oracle</w:t>
      </w:r>
      <w:r w:rsidRPr="00FE3A2F">
        <w:t>.</w:t>
      </w:r>
      <w:r w:rsidR="0081796A">
        <w:br/>
      </w:r>
      <w:r w:rsidRPr="00FE3A2F">
        <w:t xml:space="preserve">(Wards should place their orders direct – </w:t>
      </w:r>
      <w:r w:rsidR="00A635C5">
        <w:br/>
        <w:t>do not</w:t>
      </w:r>
      <w:r w:rsidRPr="00FE3A2F">
        <w:t xml:space="preserve"> order too many as they need to be stored on the ward).</w:t>
      </w:r>
    </w:p>
    <w:p w14:paraId="613F1867" w14:textId="77777777" w:rsidR="00B7715E" w:rsidRPr="00FE3A2F" w:rsidRDefault="00B7715E" w:rsidP="0081796A">
      <w:pPr>
        <w:pStyle w:val="BulletLevel1"/>
      </w:pPr>
      <w:r w:rsidRPr="00FE3A2F">
        <w:t>The patient must be provided with a patient information leaflet.</w:t>
      </w:r>
    </w:p>
    <w:p w14:paraId="4C9800A8" w14:textId="77777777" w:rsidR="00B7715E" w:rsidRPr="00FE3A2F" w:rsidRDefault="00B7715E" w:rsidP="00B7715E"/>
    <w:p w14:paraId="7E5E13AE" w14:textId="77777777" w:rsidR="00B7715E" w:rsidRPr="00FE3A2F" w:rsidRDefault="00B7715E" w:rsidP="00B7715E">
      <w:r w:rsidRPr="00FE3A2F">
        <w:t>Education must include:</w:t>
      </w:r>
    </w:p>
    <w:p w14:paraId="7A25F491" w14:textId="77777777" w:rsidR="00B7715E" w:rsidRPr="00FE3A2F" w:rsidRDefault="00B7715E" w:rsidP="00B7715E"/>
    <w:p w14:paraId="1D245058" w14:textId="77777777" w:rsidR="00B7715E" w:rsidRPr="00FE3A2F" w:rsidRDefault="00B7715E" w:rsidP="00B7715E">
      <w:pPr>
        <w:pStyle w:val="BulletLevel1"/>
      </w:pPr>
      <w:r w:rsidRPr="00FE3A2F">
        <w:t>What enoxaparin is used for.</w:t>
      </w:r>
    </w:p>
    <w:p w14:paraId="152B0894" w14:textId="77777777" w:rsidR="00B7715E" w:rsidRPr="00FE3A2F" w:rsidRDefault="00B7715E" w:rsidP="00B7715E">
      <w:pPr>
        <w:pStyle w:val="BulletLevel1"/>
      </w:pPr>
      <w:r w:rsidRPr="00FE3A2F">
        <w:t>What is the dose, frequency and duration of therapy.</w:t>
      </w:r>
    </w:p>
    <w:p w14:paraId="2EF4C99E" w14:textId="77777777" w:rsidR="00B7715E" w:rsidRPr="00FE3A2F" w:rsidRDefault="00B7715E" w:rsidP="00B7715E">
      <w:pPr>
        <w:pStyle w:val="BulletLevel1"/>
      </w:pPr>
      <w:r w:rsidRPr="00FE3A2F">
        <w:t>Where to inject.</w:t>
      </w:r>
    </w:p>
    <w:p w14:paraId="7FE7808C" w14:textId="77777777" w:rsidR="00B7715E" w:rsidRPr="00FE3A2F" w:rsidRDefault="00B7715E" w:rsidP="00B7715E">
      <w:pPr>
        <w:pStyle w:val="BulletLevel1"/>
      </w:pPr>
      <w:r w:rsidRPr="00FE3A2F">
        <w:t>How to give the injection.</w:t>
      </w:r>
    </w:p>
    <w:p w14:paraId="6F3B6601" w14:textId="77777777" w:rsidR="00B7715E" w:rsidRPr="00FE3A2F" w:rsidRDefault="00B7715E" w:rsidP="00B7715E">
      <w:pPr>
        <w:pStyle w:val="BulletLevel1"/>
      </w:pPr>
      <w:r w:rsidRPr="00FE3A2F">
        <w:t>How to get rid of used syringes safely. Issue a Medicinal Sharps bin.</w:t>
      </w:r>
    </w:p>
    <w:p w14:paraId="54C52AF9" w14:textId="77777777" w:rsidR="00B7715E" w:rsidRPr="00FE3A2F" w:rsidRDefault="00B7715E" w:rsidP="00B7715E">
      <w:pPr>
        <w:pStyle w:val="BulletLevel1"/>
      </w:pPr>
      <w:r w:rsidRPr="00FE3A2F">
        <w:t>Possible side effects.</w:t>
      </w:r>
    </w:p>
    <w:p w14:paraId="2B0E80FA" w14:textId="77777777" w:rsidR="00B7715E" w:rsidRPr="00FE3A2F" w:rsidRDefault="00B7715E" w:rsidP="00B7715E">
      <w:pPr>
        <w:pStyle w:val="BulletLevel1"/>
        <w:rPr>
          <w:b/>
        </w:rPr>
      </w:pPr>
      <w:r w:rsidRPr="00FE3A2F">
        <w:t>How to store enoxaparin.</w:t>
      </w:r>
    </w:p>
    <w:p w14:paraId="3FB472C8" w14:textId="77777777" w:rsidR="00B7715E" w:rsidRDefault="00B7715E" w:rsidP="005B4CC2">
      <w:pPr>
        <w:pStyle w:val="BodyText2"/>
        <w:rPr>
          <w:rFonts w:cs="Arial"/>
          <w:szCs w:val="24"/>
          <w:lang w:val="en-US"/>
        </w:rPr>
      </w:pPr>
    </w:p>
    <w:p w14:paraId="041A165E" w14:textId="77777777" w:rsidR="00B7715E" w:rsidRDefault="00B7715E">
      <w:pPr>
        <w:rPr>
          <w:b/>
        </w:rPr>
      </w:pPr>
      <w:r>
        <w:br w:type="page"/>
      </w:r>
    </w:p>
    <w:p w14:paraId="61EE4EAF" w14:textId="67E2D534" w:rsidR="00D16C01" w:rsidRDefault="00161D95" w:rsidP="007B6A19">
      <w:pPr>
        <w:pStyle w:val="Heading1"/>
      </w:pPr>
      <w:bookmarkStart w:id="35" w:name="_Toc184021148"/>
      <w:r>
        <w:lastRenderedPageBreak/>
        <w:t>Procedure</w:t>
      </w:r>
      <w:bookmarkEnd w:id="35"/>
    </w:p>
    <w:p w14:paraId="4EB7ACF2" w14:textId="77777777" w:rsidR="00FE3A2F" w:rsidRPr="00FE3A2F" w:rsidRDefault="00FE3A2F" w:rsidP="00FE3A2F">
      <w:bookmarkStart w:id="36" w:name="OLE_LINK8"/>
      <w:bookmarkStart w:id="37" w:name="OLE_LINK9"/>
      <w:bookmarkStart w:id="38" w:name="OLE_LINK11"/>
    </w:p>
    <w:p w14:paraId="777291A8" w14:textId="77777777" w:rsidR="00FE3A2F" w:rsidRPr="00FE3A2F" w:rsidRDefault="00FE3A2F" w:rsidP="00161D95">
      <w:pPr>
        <w:pStyle w:val="Heading2"/>
      </w:pPr>
      <w:bookmarkStart w:id="39" w:name="_Toc428263366"/>
      <w:bookmarkStart w:id="40" w:name="_Toc522284747"/>
      <w:bookmarkStart w:id="41" w:name="_Toc184021149"/>
      <w:bookmarkEnd w:id="36"/>
      <w:bookmarkEnd w:id="37"/>
      <w:bookmarkEnd w:id="38"/>
      <w:r w:rsidRPr="00FE3A2F">
        <w:t>Heparin Induced Thrombocytopenia (HIT)</w:t>
      </w:r>
      <w:bookmarkEnd w:id="39"/>
      <w:bookmarkEnd w:id="40"/>
      <w:bookmarkEnd w:id="41"/>
    </w:p>
    <w:p w14:paraId="014AE0C2" w14:textId="77777777" w:rsidR="00FE3A2F" w:rsidRPr="00FE3A2F" w:rsidRDefault="00FE3A2F" w:rsidP="00FE3A2F"/>
    <w:p w14:paraId="309D165E" w14:textId="77777777" w:rsidR="00FE3A2F" w:rsidRPr="00FE3A2F" w:rsidRDefault="00FE3A2F" w:rsidP="00161D95">
      <w:pPr>
        <w:pStyle w:val="Heading3"/>
      </w:pPr>
      <w:bookmarkStart w:id="42" w:name="_Toc522284748"/>
      <w:bookmarkStart w:id="43" w:name="_Toc184021150"/>
      <w:r w:rsidRPr="00FE3A2F">
        <w:t>Guidelines on the diagnosis of HIT can be found on the BCSH website:</w:t>
      </w:r>
      <w:bookmarkEnd w:id="42"/>
      <w:bookmarkEnd w:id="43"/>
    </w:p>
    <w:p w14:paraId="156FEE37" w14:textId="77777777" w:rsidR="00FE3A2F" w:rsidRPr="00FE3A2F" w:rsidRDefault="00FE3A2F" w:rsidP="00FE3A2F"/>
    <w:p w14:paraId="02127FB3" w14:textId="74769AA9" w:rsidR="00FE3A2F" w:rsidRPr="00FE3A2F" w:rsidRDefault="00FE3A2F" w:rsidP="00FE3A2F">
      <w:hyperlink r:id="rId16" w:history="1">
        <w:r w:rsidRPr="00FE3A2F">
          <w:rPr>
            <w:rStyle w:val="Hyperlink"/>
          </w:rPr>
          <w:t>Diagnosis and management of heparin-induced thrombocytopenia: Third edition (b-s-h.org.uk)</w:t>
        </w:r>
      </w:hyperlink>
      <w:sdt>
        <w:sdtPr>
          <w:id w:val="865333662"/>
          <w:citation/>
        </w:sdtPr>
        <w:sdtEndPr/>
        <w:sdtContent>
          <w:r w:rsidR="00B057AB">
            <w:fldChar w:fldCharType="begin"/>
          </w:r>
          <w:r w:rsidR="00B057AB">
            <w:instrText xml:space="preserve"> CITATION Dav12 \l 2057 </w:instrText>
          </w:r>
          <w:r w:rsidR="00B057AB">
            <w:fldChar w:fldCharType="separate"/>
          </w:r>
          <w:r w:rsidR="00E85596">
            <w:rPr>
              <w:noProof/>
            </w:rPr>
            <w:t xml:space="preserve"> (4)</w:t>
          </w:r>
          <w:r w:rsidR="00B057AB">
            <w:fldChar w:fldCharType="end"/>
          </w:r>
        </w:sdtContent>
      </w:sdt>
    </w:p>
    <w:p w14:paraId="1AB9AB57" w14:textId="77777777" w:rsidR="00FE3A2F" w:rsidRPr="00FE3A2F" w:rsidRDefault="00FE3A2F" w:rsidP="00FE3A2F"/>
    <w:p w14:paraId="5FEEF85E" w14:textId="00DD760E" w:rsidR="00FE3A2F" w:rsidRPr="00FE3A2F" w:rsidRDefault="00FE3A2F" w:rsidP="00FE3A2F">
      <w:r w:rsidRPr="00FE3A2F">
        <w:t xml:space="preserve">and in the Trust document Management of Heparin Induced Thrombocytopenia </w:t>
      </w:r>
      <w:sdt>
        <w:sdtPr>
          <w:id w:val="768735189"/>
          <w:citation/>
        </w:sdtPr>
        <w:sdtEndPr/>
        <w:sdtContent>
          <w:r w:rsidRPr="00FE3A2F">
            <w:fldChar w:fldCharType="begin"/>
          </w:r>
          <w:r w:rsidR="00881988">
            <w:instrText xml:space="preserve">CITATION BTH1718 \l 2057 </w:instrText>
          </w:r>
          <w:r w:rsidRPr="00FE3A2F">
            <w:fldChar w:fldCharType="separate"/>
          </w:r>
          <w:r w:rsidR="00E85596">
            <w:rPr>
              <w:noProof/>
            </w:rPr>
            <w:t>(5)</w:t>
          </w:r>
          <w:r w:rsidRPr="00FE3A2F">
            <w:fldChar w:fldCharType="end"/>
          </w:r>
        </w:sdtContent>
      </w:sdt>
      <w:r w:rsidRPr="00FE3A2F">
        <w:t xml:space="preserve"> </w:t>
      </w:r>
      <w:hyperlink r:id="rId17" w:history="1">
        <w:r w:rsidRPr="00FE3A2F">
          <w:rPr>
            <w:rStyle w:val="Hyperlink"/>
          </w:rPr>
          <w:t>http://fcsp.xfyldecoast.nhs.uk/trustdocuments/Documents/CORP-PROC-639.docx</w:t>
        </w:r>
      </w:hyperlink>
      <w:r w:rsidRPr="00FE3A2F">
        <w:t xml:space="preserve"> </w:t>
      </w:r>
    </w:p>
    <w:p w14:paraId="6DBB197B" w14:textId="77777777" w:rsidR="00FE3A2F" w:rsidRPr="00FE3A2F" w:rsidRDefault="00FE3A2F" w:rsidP="00FE3A2F"/>
    <w:p w14:paraId="3DCD786C" w14:textId="5F09EDBE" w:rsidR="00FE3A2F" w:rsidRPr="00FE3A2F" w:rsidRDefault="00FE3A2F" w:rsidP="00FE3A2F">
      <w:r w:rsidRPr="00FE3A2F">
        <w:t xml:space="preserve">Heparin induced thrombocytopenia (low platelets) is an uncommon but potentially life-threatening complication.  If the platelet count falls by 30% or more and/or the patient develops new thrombosis or skin allergy or any of the other rarer manifestations of heparin-induced thrombocytopenia (HIT) between days 4 and 14 of heparin administration, HIT should be </w:t>
      </w:r>
      <w:r w:rsidR="00E85596" w:rsidRPr="00FE3A2F">
        <w:t>considered,</w:t>
      </w:r>
      <w:r w:rsidRPr="00FE3A2F">
        <w:t xml:space="preserve"> and a clinical assessment made. </w:t>
      </w:r>
      <w:r w:rsidR="00E85596">
        <w:br/>
      </w:r>
      <w:r w:rsidRPr="00FE3A2F">
        <w:t xml:space="preserve">(See Trust document </w:t>
      </w:r>
      <w:hyperlink r:id="rId18" w:history="1">
        <w:r w:rsidRPr="00FE3A2F">
          <w:rPr>
            <w:rStyle w:val="Hyperlink"/>
          </w:rPr>
          <w:t xml:space="preserve">CORP/PROC/639 </w:t>
        </w:r>
      </w:hyperlink>
      <w:sdt>
        <w:sdtPr>
          <w:id w:val="-1069423946"/>
          <w:citation/>
        </w:sdtPr>
        <w:sdtEndPr/>
        <w:sdtContent>
          <w:r w:rsidRPr="00FE3A2F">
            <w:fldChar w:fldCharType="begin"/>
          </w:r>
          <w:r w:rsidR="00881988">
            <w:instrText xml:space="preserve">CITATION BTH1718 \l 2057 </w:instrText>
          </w:r>
          <w:r w:rsidRPr="00FE3A2F">
            <w:fldChar w:fldCharType="separate"/>
          </w:r>
          <w:r w:rsidR="00E85596">
            <w:rPr>
              <w:noProof/>
            </w:rPr>
            <w:t xml:space="preserve"> (5)</w:t>
          </w:r>
          <w:r w:rsidRPr="00FE3A2F">
            <w:fldChar w:fldCharType="end"/>
          </w:r>
        </w:sdtContent>
      </w:sdt>
      <w:r w:rsidRPr="00FE3A2F">
        <w:t xml:space="preserve"> and contact Haematology).</w:t>
      </w:r>
    </w:p>
    <w:p w14:paraId="0E91A114" w14:textId="77777777" w:rsidR="00FE3A2F" w:rsidRPr="00FE3A2F" w:rsidRDefault="00FE3A2F" w:rsidP="00FE3A2F"/>
    <w:p w14:paraId="03DD2794" w14:textId="2CE43E0B" w:rsidR="00FE3A2F" w:rsidRPr="00FE3A2F" w:rsidRDefault="00FE3A2F" w:rsidP="00FE3A2F">
      <w:r w:rsidRPr="00FE3A2F">
        <w:t>Patients who are to receive any heparin should have a baseline platelet count and then a repeat 24</w:t>
      </w:r>
      <w:r w:rsidR="00E85596">
        <w:t xml:space="preserve"> </w:t>
      </w:r>
      <w:r w:rsidRPr="00FE3A2F">
        <w:t>hours after initiation of heparin.</w:t>
      </w:r>
    </w:p>
    <w:p w14:paraId="56440BCA" w14:textId="77777777" w:rsidR="00FE3A2F" w:rsidRPr="00FE3A2F" w:rsidRDefault="00FE3A2F" w:rsidP="00FE3A2F"/>
    <w:p w14:paraId="0B8538FA" w14:textId="51ABEE17" w:rsidR="00FE3A2F" w:rsidRPr="00FE3A2F" w:rsidRDefault="00FE3A2F" w:rsidP="00201CB8">
      <w:pPr>
        <w:pStyle w:val="Heading2"/>
      </w:pPr>
      <w:bookmarkStart w:id="44" w:name="_Toc428263367"/>
      <w:bookmarkStart w:id="45" w:name="_Toc522284749"/>
      <w:bookmarkStart w:id="46" w:name="_Toc184021151"/>
      <w:r w:rsidRPr="00FE3A2F">
        <w:t>Hyperkalaemia</w:t>
      </w:r>
      <w:bookmarkEnd w:id="44"/>
      <w:bookmarkEnd w:id="45"/>
      <w:bookmarkEnd w:id="46"/>
    </w:p>
    <w:p w14:paraId="10E77436" w14:textId="77777777" w:rsidR="00FE3A2F" w:rsidRPr="00FE3A2F" w:rsidRDefault="00FE3A2F" w:rsidP="00FE3A2F"/>
    <w:p w14:paraId="1A620799" w14:textId="77777777" w:rsidR="00FE3A2F" w:rsidRPr="00FE3A2F" w:rsidRDefault="00FE3A2F" w:rsidP="00FE3A2F">
      <w:r w:rsidRPr="00FE3A2F">
        <w:t>LMWH treatment may cause hyperkalaemia.  Patients with chronic renal failure, diabetes or those taking potassium sparing medication e.g. spironolactone, Angiotensin-Converting Enzyme (ACE) inhibitors are more susceptible.</w:t>
      </w:r>
    </w:p>
    <w:p w14:paraId="3DCA331A" w14:textId="77777777" w:rsidR="00FE3A2F" w:rsidRPr="00FE3A2F" w:rsidRDefault="00FE3A2F" w:rsidP="00FE3A2F"/>
    <w:p w14:paraId="111740F8" w14:textId="77777777" w:rsidR="00FE3A2F" w:rsidRPr="00FE3A2F" w:rsidRDefault="00FE3A2F" w:rsidP="00201CB8">
      <w:pPr>
        <w:pStyle w:val="Heading2"/>
      </w:pPr>
      <w:bookmarkStart w:id="47" w:name="_Toc428263368"/>
      <w:bookmarkStart w:id="48" w:name="_Toc522284750"/>
      <w:bookmarkStart w:id="49" w:name="_Toc184021152"/>
      <w:r w:rsidRPr="00FE3A2F">
        <w:t>Intramuscular Injections</w:t>
      </w:r>
      <w:bookmarkEnd w:id="47"/>
      <w:bookmarkEnd w:id="48"/>
      <w:bookmarkEnd w:id="49"/>
    </w:p>
    <w:p w14:paraId="44241960" w14:textId="77777777" w:rsidR="00FE3A2F" w:rsidRPr="00FE3A2F" w:rsidRDefault="00FE3A2F" w:rsidP="00FE3A2F"/>
    <w:p w14:paraId="37EE42F4" w14:textId="77777777" w:rsidR="00FE3A2F" w:rsidRPr="00FE3A2F" w:rsidRDefault="00FE3A2F" w:rsidP="00FE3A2F">
      <w:r w:rsidRPr="00FE3A2F">
        <w:t>Avoid intramuscular injections whilst on treatment doses of LMWH as there is a risk of haematoma.</w:t>
      </w:r>
    </w:p>
    <w:p w14:paraId="4A8B64A1" w14:textId="77777777" w:rsidR="00FE3A2F" w:rsidRPr="00FE3A2F" w:rsidRDefault="00FE3A2F" w:rsidP="00FE3A2F"/>
    <w:p w14:paraId="60A05418" w14:textId="77777777" w:rsidR="00FE3A2F" w:rsidRPr="00FE3A2F" w:rsidRDefault="00FE3A2F" w:rsidP="00201CB8">
      <w:pPr>
        <w:pStyle w:val="Heading2"/>
      </w:pPr>
      <w:bookmarkStart w:id="50" w:name="_Toc428263369"/>
      <w:bookmarkStart w:id="51" w:name="_Toc522284751"/>
      <w:bookmarkStart w:id="52" w:name="_Toc184021153"/>
      <w:r w:rsidRPr="00FE3A2F">
        <w:t>Enoxaparin - Dose is dependent on the patient’s weight</w:t>
      </w:r>
      <w:bookmarkEnd w:id="50"/>
      <w:bookmarkEnd w:id="51"/>
      <w:bookmarkEnd w:id="52"/>
    </w:p>
    <w:p w14:paraId="01C7143C" w14:textId="77777777" w:rsidR="00FE3A2F" w:rsidRPr="00FE3A2F" w:rsidRDefault="00FE3A2F" w:rsidP="00FE3A2F"/>
    <w:p w14:paraId="4D5FEA68" w14:textId="226D9446" w:rsidR="00FE3A2F" w:rsidRPr="00FE3A2F" w:rsidRDefault="00FE3A2F" w:rsidP="00AB2A75">
      <w:pPr>
        <w:pStyle w:val="BulletLevel1"/>
      </w:pPr>
      <w:r w:rsidRPr="00FE3A2F">
        <w:t xml:space="preserve">It is important that an up to date and accurate weight is obtained. (See </w:t>
      </w:r>
      <w:hyperlink w:anchor="App1Weight" w:history="1">
        <w:r w:rsidRPr="00E85596">
          <w:rPr>
            <w:rStyle w:val="Hyperlink"/>
          </w:rPr>
          <w:t xml:space="preserve">Appendix 1 </w:t>
        </w:r>
      </w:hyperlink>
      <w:r w:rsidRPr="00FE3A2F">
        <w:t xml:space="preserve">Standards of weighing equipment and Staff Training). </w:t>
      </w:r>
      <w:r w:rsidR="00E85596">
        <w:t xml:space="preserve"> </w:t>
      </w:r>
      <w:r w:rsidRPr="00FE3A2F">
        <w:t xml:space="preserve">Healthcare professionals must not visually estimate a patient’s weight.  All healthcare staff involved in weighing patients must be trained on the weighing equipment and the correct weighing procedure. </w:t>
      </w:r>
    </w:p>
    <w:p w14:paraId="5598EBB1" w14:textId="38DAAA90" w:rsidR="00FE3A2F" w:rsidRPr="00FE3A2F" w:rsidRDefault="00FE3A2F" w:rsidP="00AB2A75">
      <w:pPr>
        <w:pStyle w:val="BulletLevel1"/>
      </w:pPr>
      <w:r w:rsidRPr="00FE3A2F">
        <w:t>The patient’s weight must be accurately recorded in kilograms (kg) on MedChart, on out-patient prescriptions, on e-discharge prescriptions and the clinical record.</w:t>
      </w:r>
    </w:p>
    <w:p w14:paraId="407496A5" w14:textId="5446191A" w:rsidR="00FE3A2F" w:rsidRPr="00FE3A2F" w:rsidRDefault="00FE3A2F" w:rsidP="00AB2A75">
      <w:pPr>
        <w:pStyle w:val="BulletLevel1"/>
      </w:pPr>
      <w:r w:rsidRPr="00FE3A2F">
        <w:t>Patients must be weighed at the start of therapy and, where applicable (e.g. if weight loss or gain during prolonged treatment), re-weighed during treatment.</w:t>
      </w:r>
    </w:p>
    <w:p w14:paraId="26469C2C" w14:textId="60F800B0" w:rsidR="00FE3A2F" w:rsidRPr="00FE3A2F" w:rsidRDefault="00FE3A2F" w:rsidP="00AB2A75">
      <w:pPr>
        <w:pStyle w:val="BulletLevel1"/>
      </w:pPr>
      <w:r w:rsidRPr="00FE3A2F">
        <w:t>When patients are unable to stand or are confined to their beds use equipment such as hoists with weighing scales ask Senior Nursing staff or the Risk department for advice.</w:t>
      </w:r>
    </w:p>
    <w:p w14:paraId="7DE207F1" w14:textId="77777777" w:rsidR="00FE3A2F" w:rsidRPr="00FE3A2F" w:rsidRDefault="00FE3A2F" w:rsidP="00FE3A2F"/>
    <w:p w14:paraId="63579F16" w14:textId="77777777" w:rsidR="00FE3A2F" w:rsidRPr="00FE3A2F" w:rsidRDefault="00FE3A2F" w:rsidP="00201CB8">
      <w:pPr>
        <w:pStyle w:val="Heading2"/>
        <w:rPr>
          <w:lang w:val="fr-FR"/>
        </w:rPr>
      </w:pPr>
      <w:bookmarkStart w:id="53" w:name="_Toc522284753"/>
      <w:bookmarkStart w:id="54" w:name="_Toc184021154"/>
      <w:bookmarkStart w:id="55" w:name="_Toc428263370"/>
      <w:bookmarkStart w:id="56" w:name="_Toc522284752"/>
      <w:r w:rsidRPr="00FE3A2F">
        <w:rPr>
          <w:lang w:val="fr-FR"/>
        </w:rPr>
        <w:lastRenderedPageBreak/>
        <w:t>Enoxaparin – Adults VTE treatment dose (Non-Pregnant)</w:t>
      </w:r>
      <w:bookmarkEnd w:id="53"/>
      <w:bookmarkEnd w:id="54"/>
    </w:p>
    <w:p w14:paraId="337EF69E" w14:textId="77777777" w:rsidR="00FE3A2F" w:rsidRPr="00FE3A2F" w:rsidRDefault="00FE3A2F" w:rsidP="00FE3A2F">
      <w:pPr>
        <w:rPr>
          <w:b/>
          <w:lang w:val="fr-FR"/>
        </w:rPr>
      </w:pPr>
    </w:p>
    <w:bookmarkEnd w:id="55"/>
    <w:bookmarkEnd w:id="56"/>
    <w:p w14:paraId="28C7ED42" w14:textId="504AD212" w:rsidR="00FE3A2F" w:rsidRDefault="00FE3A2F" w:rsidP="00AB2A75">
      <w:pPr>
        <w:pStyle w:val="BulletLevel1"/>
      </w:pPr>
      <w:r w:rsidRPr="00FE3A2F">
        <w:t xml:space="preserve">Enoxaparin (Inhixa) for patients with CrCl &gt;30 mL/min may be used at two different dosing regimens: </w:t>
      </w:r>
    </w:p>
    <w:p w14:paraId="3FF6D512" w14:textId="5DBCF302" w:rsidR="00FE3A2F" w:rsidRPr="00FE3A2F" w:rsidRDefault="00FE3A2F" w:rsidP="00110073">
      <w:pPr>
        <w:pStyle w:val="BulletLevel2"/>
      </w:pPr>
      <w:r w:rsidRPr="00B7715E">
        <w:rPr>
          <w:b/>
          <w:bCs w:val="0"/>
        </w:rPr>
        <w:t>1.5mg/kg OD</w:t>
      </w:r>
      <w:r w:rsidRPr="00FE3A2F">
        <w:t xml:space="preserve">: For standard/low-risk patients </w:t>
      </w:r>
      <w:r w:rsidR="00B7715E">
        <w:br/>
      </w:r>
      <w:r w:rsidRPr="00FE3A2F">
        <w:t>uncomplicated patients with low risk of VTE recurrence.</w:t>
      </w:r>
    </w:p>
    <w:p w14:paraId="79F7F19D" w14:textId="1386A4F7" w:rsidR="00FE3A2F" w:rsidRPr="00FE3A2F" w:rsidRDefault="00FE3A2F" w:rsidP="007C587C">
      <w:pPr>
        <w:pStyle w:val="BulletLevel2"/>
      </w:pPr>
      <w:r w:rsidRPr="00B7715E">
        <w:rPr>
          <w:b/>
          <w:bCs w:val="0"/>
        </w:rPr>
        <w:t>1mg/kg BD</w:t>
      </w:r>
      <w:r w:rsidRPr="00FE3A2F">
        <w:t xml:space="preserve">: For high-risk patients only </w:t>
      </w:r>
      <w:r w:rsidR="00B7715E">
        <w:br/>
      </w:r>
      <w:r w:rsidRPr="00FE3A2F">
        <w:t xml:space="preserve">in all other patients such as those with obesity, with symptomatic PE, cancer, recurrent VTE or proximal thrombosis. </w:t>
      </w:r>
      <w:r w:rsidR="0000639C">
        <w:t xml:space="preserve"> </w:t>
      </w:r>
      <w:r w:rsidRPr="00FE3A2F">
        <w:t>The dose interval for twice daily dosing is 12 hours.</w:t>
      </w:r>
    </w:p>
    <w:p w14:paraId="01ADE91E" w14:textId="3DC079D1" w:rsidR="00FE3A2F" w:rsidRPr="00FE3A2F" w:rsidRDefault="00FE3A2F" w:rsidP="00FE3A2F">
      <w:r w:rsidRPr="00FE3A2F">
        <w:t xml:space="preserve">The regime should be selected by the prescriber based on an individual assessment including evaluation of the thromboembolic risk and of the risk of bleeding. </w:t>
      </w:r>
      <w:r w:rsidR="0000639C">
        <w:t xml:space="preserve"> </w:t>
      </w:r>
      <w:r w:rsidRPr="00FE3A2F">
        <w:t xml:space="preserve">Validated risk assessment tools should be used where appropriate </w:t>
      </w:r>
      <w:r w:rsidR="0000639C">
        <w:br/>
      </w:r>
      <w:r w:rsidRPr="00FE3A2F">
        <w:t>(</w:t>
      </w:r>
      <w:r w:rsidR="0000639C" w:rsidRPr="00FE3A2F">
        <w:t>i.e.</w:t>
      </w:r>
      <w:r w:rsidRPr="00FE3A2F">
        <w:t xml:space="preserve"> CHADSVASC</w:t>
      </w:r>
      <w:r w:rsidR="008B2836">
        <w:t xml:space="preserve"> </w:t>
      </w:r>
      <w:r w:rsidRPr="00FE3A2F">
        <w:t>/</w:t>
      </w:r>
      <w:r w:rsidR="008B2836">
        <w:t xml:space="preserve"> </w:t>
      </w:r>
      <w:r w:rsidRPr="00FE3A2F">
        <w:t>ORBIT</w:t>
      </w:r>
      <w:r w:rsidR="008B2836">
        <w:t xml:space="preserve"> </w:t>
      </w:r>
      <w:r w:rsidRPr="00FE3A2F">
        <w:t>/</w:t>
      </w:r>
      <w:r w:rsidR="008B2836">
        <w:t xml:space="preserve"> </w:t>
      </w:r>
      <w:r w:rsidRPr="00FE3A2F">
        <w:t xml:space="preserve">HASBLED). </w:t>
      </w:r>
    </w:p>
    <w:p w14:paraId="07D4D44E" w14:textId="77777777" w:rsidR="00FE3A2F" w:rsidRPr="00FE3A2F" w:rsidRDefault="00FE3A2F" w:rsidP="00FE3A2F"/>
    <w:p w14:paraId="064CA8BB" w14:textId="287E7221" w:rsidR="00FE3A2F" w:rsidRPr="00FE3A2F" w:rsidRDefault="00FE3A2F" w:rsidP="00201CB8">
      <w:pPr>
        <w:pStyle w:val="Heading3"/>
      </w:pPr>
      <w:bookmarkStart w:id="57" w:name="_Toc184021155"/>
      <w:r w:rsidRPr="00FE3A2F">
        <w:t>For patients with CrCl &lt;30mL/min the dose of enoxaparin is 1mg/kg OD.</w:t>
      </w:r>
      <w:bookmarkEnd w:id="57"/>
    </w:p>
    <w:p w14:paraId="45F1B47A" w14:textId="77777777" w:rsidR="00FE3A2F" w:rsidRPr="00FE3A2F" w:rsidRDefault="00FE3A2F" w:rsidP="00FE3A2F"/>
    <w:p w14:paraId="64A57524" w14:textId="776BD0B7" w:rsidR="00FE3A2F" w:rsidRPr="00FE3A2F" w:rsidRDefault="00FE3A2F" w:rsidP="00FE3A2F">
      <w:r w:rsidRPr="00FE3A2F">
        <w:t xml:space="preserve">The use of enoxaparin for patients with CrCl&lt;15mL/min is off license. Renal dose may be used with close monitoring for signs of bleeding and anti-Xa monitoring as per section </w:t>
      </w:r>
      <w:r w:rsidR="00A135A6">
        <w:t>6.6</w:t>
      </w:r>
      <w:r w:rsidRPr="00FE3A2F">
        <w:t>.</w:t>
      </w:r>
    </w:p>
    <w:p w14:paraId="3A8BC5E9" w14:textId="77777777" w:rsidR="00FE3A2F" w:rsidRPr="00FE3A2F" w:rsidRDefault="00FE3A2F" w:rsidP="00FE3A2F"/>
    <w:p w14:paraId="1F3461B3" w14:textId="0CFB6C9B" w:rsidR="00FE3A2F" w:rsidRPr="00FE3A2F" w:rsidRDefault="00FE3A2F" w:rsidP="00B7715E">
      <w:pPr>
        <w:pStyle w:val="BulletLevel1"/>
      </w:pPr>
      <w:r w:rsidRPr="00FE3A2F">
        <w:t xml:space="preserve">The relevant table below should be used to determine the appropriate weight banded dose. </w:t>
      </w:r>
    </w:p>
    <w:p w14:paraId="6361A369" w14:textId="77777777" w:rsidR="00FE3A2F" w:rsidRPr="00FE3A2F" w:rsidRDefault="00FE3A2F" w:rsidP="00FE3A2F">
      <w:r w:rsidRPr="00FE3A2F">
        <w:t>These bands use doses rounded to the nearest full syringe to aid administration.</w:t>
      </w:r>
    </w:p>
    <w:p w14:paraId="749A6EE9" w14:textId="77777777" w:rsidR="00FE3A2F" w:rsidRPr="00FE3A2F" w:rsidRDefault="00FE3A2F" w:rsidP="00FE3A2F"/>
    <w:tbl>
      <w:tblPr>
        <w:tblStyle w:val="TableGrid"/>
        <w:tblW w:w="5000" w:type="pct"/>
        <w:tblLook w:val="0000" w:firstRow="0" w:lastRow="0" w:firstColumn="0" w:lastColumn="0" w:noHBand="0" w:noVBand="0"/>
      </w:tblPr>
      <w:tblGrid>
        <w:gridCol w:w="1839"/>
        <w:gridCol w:w="3433"/>
        <w:gridCol w:w="4356"/>
      </w:tblGrid>
      <w:tr w:rsidR="00FE3A2F" w:rsidRPr="00FE3A2F" w14:paraId="4F03D5C9" w14:textId="77777777" w:rsidTr="00201CB8">
        <w:trPr>
          <w:trHeight w:val="388"/>
        </w:trPr>
        <w:tc>
          <w:tcPr>
            <w:tcW w:w="5000" w:type="pct"/>
            <w:gridSpan w:val="3"/>
          </w:tcPr>
          <w:p w14:paraId="639DE258" w14:textId="77777777" w:rsidR="00FE3A2F" w:rsidRPr="00FE3A2F" w:rsidRDefault="00FE3A2F" w:rsidP="000C2BAA">
            <w:pPr>
              <w:spacing w:before="60" w:after="60"/>
            </w:pPr>
            <w:r w:rsidRPr="00FE3A2F">
              <w:rPr>
                <w:b/>
              </w:rPr>
              <w:t xml:space="preserve">THERAPEUTIC LMWH: dosing for low-risk patients </w:t>
            </w:r>
            <w:r w:rsidRPr="00FE3A2F">
              <w:t>uncomplicated patients with low risk of VTE recurrence.</w:t>
            </w:r>
          </w:p>
          <w:p w14:paraId="383471F0" w14:textId="5DE5B40A" w:rsidR="00FE3A2F" w:rsidRPr="00FE3A2F" w:rsidRDefault="00FE3A2F" w:rsidP="000C2BAA">
            <w:pPr>
              <w:spacing w:before="60" w:after="60"/>
            </w:pPr>
            <w:r w:rsidRPr="00FE3A2F">
              <w:rPr>
                <w:b/>
              </w:rPr>
              <w:t xml:space="preserve">Check actual body weight and renal function before prescribing </w:t>
            </w:r>
            <w:r w:rsidR="008E132C">
              <w:rPr>
                <w:b/>
              </w:rPr>
              <w:br/>
            </w:r>
            <w:r w:rsidRPr="00FE3A2F">
              <w:rPr>
                <w:i/>
                <w:iCs/>
              </w:rPr>
              <w:t xml:space="preserve">(Doses rounded to practical syringe size(s) to facilitate administration) </w:t>
            </w:r>
          </w:p>
        </w:tc>
      </w:tr>
      <w:tr w:rsidR="00FE3A2F" w:rsidRPr="00FE3A2F" w14:paraId="745670EF" w14:textId="77777777" w:rsidTr="00201CB8">
        <w:trPr>
          <w:trHeight w:val="388"/>
        </w:trPr>
        <w:tc>
          <w:tcPr>
            <w:tcW w:w="955" w:type="pct"/>
            <w:vAlign w:val="center"/>
          </w:tcPr>
          <w:p w14:paraId="612D5270" w14:textId="25CEB4F7" w:rsidR="00FE3A2F" w:rsidRPr="00FE3A2F" w:rsidRDefault="00FE3A2F" w:rsidP="000C2BAA">
            <w:pPr>
              <w:spacing w:before="60" w:after="60"/>
              <w:jc w:val="center"/>
            </w:pPr>
            <w:r w:rsidRPr="00FE3A2F">
              <w:rPr>
                <w:b/>
              </w:rPr>
              <w:t>Actual body weight</w:t>
            </w:r>
          </w:p>
        </w:tc>
        <w:tc>
          <w:tcPr>
            <w:tcW w:w="1783" w:type="pct"/>
            <w:vAlign w:val="center"/>
          </w:tcPr>
          <w:p w14:paraId="4414D8D3" w14:textId="67B735DC" w:rsidR="00FE3A2F" w:rsidRPr="00FE3A2F" w:rsidRDefault="00FE3A2F" w:rsidP="000C2BAA">
            <w:pPr>
              <w:spacing w:before="60" w:after="60"/>
              <w:jc w:val="center"/>
              <w:rPr>
                <w:lang w:val="fr-FR"/>
              </w:rPr>
            </w:pPr>
            <w:r w:rsidRPr="00FE3A2F">
              <w:rPr>
                <w:b/>
                <w:lang w:val="fr-FR"/>
              </w:rPr>
              <w:t>Enoxaparin Dose</w:t>
            </w:r>
            <w:r w:rsidR="00311451">
              <w:rPr>
                <w:b/>
                <w:lang w:val="fr-FR"/>
              </w:rPr>
              <w:br/>
            </w:r>
            <w:r w:rsidRPr="00FE3A2F">
              <w:rPr>
                <w:lang w:val="fr-FR"/>
              </w:rPr>
              <w:t xml:space="preserve">Via subcutaneous injection </w:t>
            </w:r>
            <w:r w:rsidR="008E132C">
              <w:rPr>
                <w:lang w:val="fr-FR"/>
              </w:rPr>
              <w:br/>
            </w:r>
            <w:r w:rsidRPr="00FE3A2F">
              <w:rPr>
                <w:lang w:val="fr-FR"/>
              </w:rPr>
              <w:t>CrCl ≥ 30 mL/min (1.5mg/kg)</w:t>
            </w:r>
            <w:r w:rsidR="00311451">
              <w:rPr>
                <w:lang w:val="fr-FR"/>
              </w:rPr>
              <w:t xml:space="preserve"> OD</w:t>
            </w:r>
          </w:p>
        </w:tc>
        <w:tc>
          <w:tcPr>
            <w:tcW w:w="2262" w:type="pct"/>
            <w:vAlign w:val="center"/>
          </w:tcPr>
          <w:p w14:paraId="6ECEE5C6" w14:textId="755494D5" w:rsidR="00FE3A2F" w:rsidRPr="00FE3A2F" w:rsidRDefault="00FE3A2F" w:rsidP="000C2BAA">
            <w:pPr>
              <w:spacing w:before="60" w:after="60"/>
              <w:jc w:val="center"/>
              <w:rPr>
                <w:lang w:val="fr-FR"/>
              </w:rPr>
            </w:pPr>
            <w:r w:rsidRPr="00FE3A2F">
              <w:rPr>
                <w:b/>
                <w:lang w:val="fr-FR"/>
              </w:rPr>
              <w:t>Enoxaparin Dose</w:t>
            </w:r>
          </w:p>
          <w:p w14:paraId="68893F83" w14:textId="26C6E7BC" w:rsidR="00FE3A2F" w:rsidRPr="00FE3A2F" w:rsidRDefault="00FE3A2F" w:rsidP="000C2BAA">
            <w:pPr>
              <w:spacing w:before="60" w:after="60"/>
              <w:jc w:val="center"/>
              <w:rPr>
                <w:lang w:val="fr-FR"/>
              </w:rPr>
            </w:pPr>
            <w:r w:rsidRPr="00FE3A2F">
              <w:rPr>
                <w:lang w:val="fr-FR"/>
              </w:rPr>
              <w:t xml:space="preserve">Via subcutaneous injection </w:t>
            </w:r>
            <w:r w:rsidR="008E132C">
              <w:rPr>
                <w:lang w:val="fr-FR"/>
              </w:rPr>
              <w:br/>
            </w:r>
            <w:r w:rsidRPr="00FE3A2F">
              <w:rPr>
                <w:lang w:val="fr-FR"/>
              </w:rPr>
              <w:t>CrCl &lt;30 mL/min (1mg/kg)</w:t>
            </w:r>
            <w:r w:rsidR="00311451">
              <w:rPr>
                <w:lang w:val="fr-FR"/>
              </w:rPr>
              <w:t xml:space="preserve"> OD</w:t>
            </w:r>
          </w:p>
        </w:tc>
      </w:tr>
      <w:tr w:rsidR="00FE3A2F" w:rsidRPr="00FE3A2F" w14:paraId="030BDE8A" w14:textId="77777777" w:rsidTr="00201CB8">
        <w:trPr>
          <w:trHeight w:val="112"/>
        </w:trPr>
        <w:tc>
          <w:tcPr>
            <w:tcW w:w="955" w:type="pct"/>
          </w:tcPr>
          <w:p w14:paraId="333773B1" w14:textId="77777777" w:rsidR="00FE3A2F" w:rsidRPr="00FE3A2F" w:rsidRDefault="00FE3A2F" w:rsidP="000C2BAA">
            <w:pPr>
              <w:spacing w:before="60" w:after="60"/>
            </w:pPr>
            <w:r w:rsidRPr="00FE3A2F">
              <w:rPr>
                <w:b/>
              </w:rPr>
              <w:t xml:space="preserve">40 – 53 kg </w:t>
            </w:r>
          </w:p>
        </w:tc>
        <w:tc>
          <w:tcPr>
            <w:tcW w:w="1783" w:type="pct"/>
          </w:tcPr>
          <w:p w14:paraId="715E124F" w14:textId="77777777" w:rsidR="00FE3A2F" w:rsidRPr="00FE3A2F" w:rsidRDefault="00FE3A2F" w:rsidP="000C2BAA">
            <w:pPr>
              <w:spacing w:before="60" w:after="60"/>
            </w:pPr>
            <w:r w:rsidRPr="00FE3A2F">
              <w:t xml:space="preserve">60 mg once daily </w:t>
            </w:r>
          </w:p>
        </w:tc>
        <w:tc>
          <w:tcPr>
            <w:tcW w:w="2262" w:type="pct"/>
          </w:tcPr>
          <w:p w14:paraId="40F145B4" w14:textId="77777777" w:rsidR="00FE3A2F" w:rsidRPr="00FE3A2F" w:rsidRDefault="00FE3A2F" w:rsidP="000C2BAA">
            <w:pPr>
              <w:spacing w:before="60" w:after="60"/>
            </w:pPr>
            <w:r w:rsidRPr="00FE3A2F">
              <w:t xml:space="preserve">40mg once daily </w:t>
            </w:r>
          </w:p>
        </w:tc>
      </w:tr>
      <w:tr w:rsidR="00FE3A2F" w:rsidRPr="00FE3A2F" w14:paraId="1E6FE81F" w14:textId="77777777" w:rsidTr="00201CB8">
        <w:trPr>
          <w:trHeight w:val="112"/>
        </w:trPr>
        <w:tc>
          <w:tcPr>
            <w:tcW w:w="955" w:type="pct"/>
          </w:tcPr>
          <w:p w14:paraId="796506EE" w14:textId="77777777" w:rsidR="00FE3A2F" w:rsidRPr="00FE3A2F" w:rsidRDefault="00FE3A2F" w:rsidP="000C2BAA">
            <w:pPr>
              <w:spacing w:before="60" w:after="60"/>
            </w:pPr>
            <w:r w:rsidRPr="00FE3A2F">
              <w:rPr>
                <w:b/>
              </w:rPr>
              <w:t xml:space="preserve">54 – 66 kg </w:t>
            </w:r>
          </w:p>
        </w:tc>
        <w:tc>
          <w:tcPr>
            <w:tcW w:w="1783" w:type="pct"/>
          </w:tcPr>
          <w:p w14:paraId="33C7DE83" w14:textId="77777777" w:rsidR="00FE3A2F" w:rsidRPr="00FE3A2F" w:rsidRDefault="00FE3A2F" w:rsidP="000C2BAA">
            <w:pPr>
              <w:spacing w:before="60" w:after="60"/>
            </w:pPr>
            <w:r w:rsidRPr="00FE3A2F">
              <w:t xml:space="preserve">80 mg once daily </w:t>
            </w:r>
          </w:p>
        </w:tc>
        <w:tc>
          <w:tcPr>
            <w:tcW w:w="2262" w:type="pct"/>
          </w:tcPr>
          <w:p w14:paraId="15B01059" w14:textId="77777777" w:rsidR="00FE3A2F" w:rsidRPr="00FE3A2F" w:rsidRDefault="00FE3A2F" w:rsidP="000C2BAA">
            <w:pPr>
              <w:spacing w:before="60" w:after="60"/>
            </w:pPr>
            <w:r w:rsidRPr="00FE3A2F">
              <w:t xml:space="preserve">60 mg once daily </w:t>
            </w:r>
          </w:p>
        </w:tc>
      </w:tr>
      <w:tr w:rsidR="00FE3A2F" w:rsidRPr="00FE3A2F" w14:paraId="75A8192B" w14:textId="77777777" w:rsidTr="00201CB8">
        <w:trPr>
          <w:trHeight w:val="112"/>
        </w:trPr>
        <w:tc>
          <w:tcPr>
            <w:tcW w:w="955" w:type="pct"/>
          </w:tcPr>
          <w:p w14:paraId="4628B32B" w14:textId="77777777" w:rsidR="00FE3A2F" w:rsidRPr="00FE3A2F" w:rsidRDefault="00FE3A2F" w:rsidP="000C2BAA">
            <w:pPr>
              <w:spacing w:before="60" w:after="60"/>
            </w:pPr>
            <w:r w:rsidRPr="00FE3A2F">
              <w:rPr>
                <w:b/>
              </w:rPr>
              <w:t xml:space="preserve">67 -79 kg </w:t>
            </w:r>
          </w:p>
        </w:tc>
        <w:tc>
          <w:tcPr>
            <w:tcW w:w="1783" w:type="pct"/>
          </w:tcPr>
          <w:p w14:paraId="226E6485" w14:textId="77777777" w:rsidR="00FE3A2F" w:rsidRPr="00FE3A2F" w:rsidRDefault="00FE3A2F" w:rsidP="000C2BAA">
            <w:pPr>
              <w:spacing w:before="60" w:after="60"/>
            </w:pPr>
            <w:r w:rsidRPr="00FE3A2F">
              <w:t xml:space="preserve">100 mg once daily </w:t>
            </w:r>
          </w:p>
        </w:tc>
        <w:tc>
          <w:tcPr>
            <w:tcW w:w="2262" w:type="pct"/>
          </w:tcPr>
          <w:p w14:paraId="00130B60" w14:textId="77777777" w:rsidR="00FE3A2F" w:rsidRPr="00FE3A2F" w:rsidRDefault="00FE3A2F" w:rsidP="000C2BAA">
            <w:pPr>
              <w:spacing w:before="60" w:after="60"/>
            </w:pPr>
            <w:r w:rsidRPr="00FE3A2F">
              <w:t xml:space="preserve">60 mg once daily </w:t>
            </w:r>
          </w:p>
        </w:tc>
      </w:tr>
      <w:tr w:rsidR="00FE3A2F" w:rsidRPr="00FE3A2F" w14:paraId="3DC58D23" w14:textId="77777777" w:rsidTr="00201CB8">
        <w:trPr>
          <w:trHeight w:val="112"/>
        </w:trPr>
        <w:tc>
          <w:tcPr>
            <w:tcW w:w="955" w:type="pct"/>
          </w:tcPr>
          <w:p w14:paraId="4CDA88C6" w14:textId="77777777" w:rsidR="00FE3A2F" w:rsidRPr="00FE3A2F" w:rsidRDefault="00FE3A2F" w:rsidP="000C2BAA">
            <w:pPr>
              <w:spacing w:before="60" w:after="60"/>
            </w:pPr>
            <w:r w:rsidRPr="00FE3A2F">
              <w:rPr>
                <w:b/>
              </w:rPr>
              <w:t xml:space="preserve">80 – 93 kg </w:t>
            </w:r>
          </w:p>
        </w:tc>
        <w:tc>
          <w:tcPr>
            <w:tcW w:w="1783" w:type="pct"/>
          </w:tcPr>
          <w:p w14:paraId="76BDE8AC" w14:textId="77777777" w:rsidR="00FE3A2F" w:rsidRPr="00FE3A2F" w:rsidRDefault="00FE3A2F" w:rsidP="000C2BAA">
            <w:pPr>
              <w:spacing w:before="60" w:after="60"/>
            </w:pPr>
            <w:r w:rsidRPr="00FE3A2F">
              <w:t xml:space="preserve">120 mg once daily </w:t>
            </w:r>
          </w:p>
        </w:tc>
        <w:tc>
          <w:tcPr>
            <w:tcW w:w="2262" w:type="pct"/>
          </w:tcPr>
          <w:p w14:paraId="6E93F908" w14:textId="77777777" w:rsidR="00FE3A2F" w:rsidRPr="00FE3A2F" w:rsidRDefault="00FE3A2F" w:rsidP="000C2BAA">
            <w:pPr>
              <w:spacing w:before="60" w:after="60"/>
            </w:pPr>
            <w:r w:rsidRPr="00FE3A2F">
              <w:t xml:space="preserve">80 mg once daily </w:t>
            </w:r>
          </w:p>
        </w:tc>
      </w:tr>
      <w:tr w:rsidR="00FE3A2F" w:rsidRPr="00FE3A2F" w14:paraId="77F344EB" w14:textId="77777777" w:rsidTr="00201CB8">
        <w:trPr>
          <w:trHeight w:val="112"/>
        </w:trPr>
        <w:tc>
          <w:tcPr>
            <w:tcW w:w="955" w:type="pct"/>
          </w:tcPr>
          <w:p w14:paraId="5EC43A79" w14:textId="77777777" w:rsidR="00FE3A2F" w:rsidRPr="00FE3A2F" w:rsidRDefault="00FE3A2F" w:rsidP="000C2BAA">
            <w:pPr>
              <w:spacing w:before="60" w:after="60"/>
            </w:pPr>
            <w:r w:rsidRPr="00FE3A2F">
              <w:rPr>
                <w:b/>
              </w:rPr>
              <w:t xml:space="preserve">94 – 99 kg </w:t>
            </w:r>
          </w:p>
        </w:tc>
        <w:tc>
          <w:tcPr>
            <w:tcW w:w="1783" w:type="pct"/>
          </w:tcPr>
          <w:p w14:paraId="29042E18" w14:textId="77777777" w:rsidR="00FE3A2F" w:rsidRPr="00FE3A2F" w:rsidRDefault="00FE3A2F" w:rsidP="000C2BAA">
            <w:pPr>
              <w:spacing w:before="60" w:after="60"/>
            </w:pPr>
            <w:r w:rsidRPr="00FE3A2F">
              <w:t xml:space="preserve">140 mg once daily </w:t>
            </w:r>
          </w:p>
        </w:tc>
        <w:tc>
          <w:tcPr>
            <w:tcW w:w="2262" w:type="pct"/>
          </w:tcPr>
          <w:p w14:paraId="2069050B" w14:textId="77777777" w:rsidR="00FE3A2F" w:rsidRPr="00FE3A2F" w:rsidRDefault="00FE3A2F" w:rsidP="000C2BAA">
            <w:pPr>
              <w:spacing w:before="60" w:after="60"/>
            </w:pPr>
            <w:r w:rsidRPr="00FE3A2F">
              <w:t xml:space="preserve">100 mg once daily </w:t>
            </w:r>
          </w:p>
        </w:tc>
      </w:tr>
      <w:tr w:rsidR="00FE3A2F" w:rsidRPr="00FE3A2F" w14:paraId="59A00DA1" w14:textId="77777777" w:rsidTr="00201CB8">
        <w:trPr>
          <w:trHeight w:val="112"/>
        </w:trPr>
        <w:tc>
          <w:tcPr>
            <w:tcW w:w="955" w:type="pct"/>
          </w:tcPr>
          <w:p w14:paraId="4AA7E7FA" w14:textId="77777777" w:rsidR="00FE3A2F" w:rsidRPr="00FE3A2F" w:rsidRDefault="00FE3A2F" w:rsidP="000C2BAA">
            <w:pPr>
              <w:spacing w:before="60" w:after="60"/>
            </w:pPr>
            <w:r w:rsidRPr="00FE3A2F">
              <w:rPr>
                <w:b/>
              </w:rPr>
              <w:t xml:space="preserve">100 – 109 kg </w:t>
            </w:r>
          </w:p>
        </w:tc>
        <w:tc>
          <w:tcPr>
            <w:tcW w:w="1783" w:type="pct"/>
          </w:tcPr>
          <w:p w14:paraId="267B3E5C" w14:textId="77777777" w:rsidR="00FE3A2F" w:rsidRPr="00FE3A2F" w:rsidRDefault="00FE3A2F" w:rsidP="000C2BAA">
            <w:pPr>
              <w:spacing w:before="60" w:after="60"/>
            </w:pPr>
            <w:r w:rsidRPr="00FE3A2F">
              <w:t xml:space="preserve">150 mg once daily </w:t>
            </w:r>
          </w:p>
        </w:tc>
        <w:tc>
          <w:tcPr>
            <w:tcW w:w="2262" w:type="pct"/>
          </w:tcPr>
          <w:p w14:paraId="61140F69" w14:textId="77777777" w:rsidR="00FE3A2F" w:rsidRPr="00FE3A2F" w:rsidRDefault="00FE3A2F" w:rsidP="000C2BAA">
            <w:pPr>
              <w:spacing w:before="60" w:after="60"/>
            </w:pPr>
            <w:r w:rsidRPr="00FE3A2F">
              <w:t xml:space="preserve">100 mg once daily </w:t>
            </w:r>
          </w:p>
        </w:tc>
      </w:tr>
      <w:tr w:rsidR="00FE3A2F" w:rsidRPr="00FE3A2F" w14:paraId="0810112F" w14:textId="77777777" w:rsidTr="00201CB8">
        <w:trPr>
          <w:trHeight w:val="112"/>
        </w:trPr>
        <w:tc>
          <w:tcPr>
            <w:tcW w:w="955" w:type="pct"/>
          </w:tcPr>
          <w:p w14:paraId="6C37B533" w14:textId="77777777" w:rsidR="00FE3A2F" w:rsidRPr="00FE3A2F" w:rsidRDefault="00FE3A2F" w:rsidP="000C2BAA">
            <w:pPr>
              <w:spacing w:before="60" w:after="60"/>
            </w:pPr>
            <w:r w:rsidRPr="00FE3A2F">
              <w:rPr>
                <w:b/>
              </w:rPr>
              <w:t xml:space="preserve">110 – 114 kg </w:t>
            </w:r>
          </w:p>
        </w:tc>
        <w:tc>
          <w:tcPr>
            <w:tcW w:w="1783" w:type="pct"/>
          </w:tcPr>
          <w:p w14:paraId="302F4BF5" w14:textId="77777777" w:rsidR="00FE3A2F" w:rsidRPr="00FE3A2F" w:rsidRDefault="00FE3A2F" w:rsidP="000C2BAA">
            <w:pPr>
              <w:spacing w:before="60" w:after="60"/>
            </w:pPr>
            <w:r w:rsidRPr="00FE3A2F">
              <w:t xml:space="preserve">160 mg once daily </w:t>
            </w:r>
          </w:p>
        </w:tc>
        <w:tc>
          <w:tcPr>
            <w:tcW w:w="2262" w:type="pct"/>
          </w:tcPr>
          <w:p w14:paraId="2181B52C" w14:textId="77777777" w:rsidR="00FE3A2F" w:rsidRPr="00FE3A2F" w:rsidRDefault="00FE3A2F" w:rsidP="000C2BAA">
            <w:pPr>
              <w:spacing w:before="60" w:after="60"/>
            </w:pPr>
            <w:r w:rsidRPr="00FE3A2F">
              <w:t xml:space="preserve">120 mg once daily </w:t>
            </w:r>
          </w:p>
        </w:tc>
      </w:tr>
      <w:tr w:rsidR="00FE3A2F" w:rsidRPr="00FE3A2F" w14:paraId="25C6F548" w14:textId="77777777" w:rsidTr="00201CB8">
        <w:trPr>
          <w:trHeight w:val="112"/>
        </w:trPr>
        <w:tc>
          <w:tcPr>
            <w:tcW w:w="955" w:type="pct"/>
          </w:tcPr>
          <w:p w14:paraId="6B6FF464" w14:textId="77777777" w:rsidR="00FE3A2F" w:rsidRPr="00FE3A2F" w:rsidRDefault="00FE3A2F" w:rsidP="000C2BAA">
            <w:pPr>
              <w:spacing w:before="60" w:after="60"/>
            </w:pPr>
            <w:r w:rsidRPr="00FE3A2F">
              <w:rPr>
                <w:b/>
              </w:rPr>
              <w:t xml:space="preserve">115 – 120 kg </w:t>
            </w:r>
          </w:p>
        </w:tc>
        <w:tc>
          <w:tcPr>
            <w:tcW w:w="1783" w:type="pct"/>
          </w:tcPr>
          <w:p w14:paraId="40FF82A2" w14:textId="77777777" w:rsidR="00FE3A2F" w:rsidRPr="00FE3A2F" w:rsidRDefault="00FE3A2F" w:rsidP="000C2BAA">
            <w:pPr>
              <w:spacing w:before="60" w:after="60"/>
            </w:pPr>
            <w:r w:rsidRPr="00FE3A2F">
              <w:t xml:space="preserve">180 mg once daily </w:t>
            </w:r>
          </w:p>
        </w:tc>
        <w:tc>
          <w:tcPr>
            <w:tcW w:w="2262" w:type="pct"/>
          </w:tcPr>
          <w:p w14:paraId="254366AE" w14:textId="77777777" w:rsidR="00FE3A2F" w:rsidRPr="00FE3A2F" w:rsidRDefault="00FE3A2F" w:rsidP="000C2BAA">
            <w:pPr>
              <w:spacing w:before="60" w:after="60"/>
            </w:pPr>
            <w:r w:rsidRPr="00FE3A2F">
              <w:t xml:space="preserve">120 mg once daily </w:t>
            </w:r>
          </w:p>
        </w:tc>
      </w:tr>
    </w:tbl>
    <w:p w14:paraId="0874A2F2" w14:textId="77777777" w:rsidR="00FE3A2F" w:rsidRDefault="00FE3A2F" w:rsidP="00FE3A2F"/>
    <w:tbl>
      <w:tblPr>
        <w:tblStyle w:val="TableGrid"/>
        <w:tblW w:w="9776" w:type="dxa"/>
        <w:tblLayout w:type="fixed"/>
        <w:tblLook w:val="0000" w:firstRow="0" w:lastRow="0" w:firstColumn="0" w:lastColumn="0" w:noHBand="0" w:noVBand="0"/>
      </w:tblPr>
      <w:tblGrid>
        <w:gridCol w:w="1838"/>
        <w:gridCol w:w="3515"/>
        <w:gridCol w:w="4423"/>
      </w:tblGrid>
      <w:tr w:rsidR="00FE3A2F" w:rsidRPr="00FE3A2F" w14:paraId="2F97811E" w14:textId="77777777" w:rsidTr="00FB0635">
        <w:trPr>
          <w:trHeight w:val="388"/>
        </w:trPr>
        <w:tc>
          <w:tcPr>
            <w:tcW w:w="9776" w:type="dxa"/>
            <w:gridSpan w:val="3"/>
          </w:tcPr>
          <w:p w14:paraId="7D9BCAF1" w14:textId="5038CD5B" w:rsidR="00FE3A2F" w:rsidRPr="00FE3A2F" w:rsidRDefault="00FE3A2F" w:rsidP="008E132C">
            <w:pPr>
              <w:spacing w:before="120" w:after="120"/>
            </w:pPr>
            <w:r w:rsidRPr="00FE3A2F">
              <w:lastRenderedPageBreak/>
              <w:br w:type="page"/>
            </w:r>
            <w:r w:rsidRPr="00FE3A2F">
              <w:rPr>
                <w:b/>
              </w:rPr>
              <w:t xml:space="preserve">THERAPEUTIC LMWH: dosing for high-risk patients </w:t>
            </w:r>
            <w:r w:rsidRPr="00FE3A2F">
              <w:t>all other patients such as those with obesity, with symptomatic PE, cancer, recurrent VTE or proximal thrombosis</w:t>
            </w:r>
          </w:p>
          <w:p w14:paraId="20B735CB" w14:textId="6C6C6329" w:rsidR="00FE3A2F" w:rsidRPr="00FE3A2F" w:rsidRDefault="00FE3A2F" w:rsidP="008E132C">
            <w:pPr>
              <w:spacing w:before="120" w:after="120"/>
            </w:pPr>
            <w:r w:rsidRPr="00FE3A2F">
              <w:rPr>
                <w:b/>
              </w:rPr>
              <w:t xml:space="preserve">Check actual body weight and renal function before prescribing </w:t>
            </w:r>
            <w:r w:rsidR="008E132C">
              <w:rPr>
                <w:b/>
              </w:rPr>
              <w:br/>
            </w:r>
            <w:r w:rsidRPr="00FE3A2F">
              <w:rPr>
                <w:i/>
                <w:iCs/>
              </w:rPr>
              <w:t xml:space="preserve">(Doses rounded to practical syringe size(s) to facilitate administration) </w:t>
            </w:r>
          </w:p>
        </w:tc>
      </w:tr>
      <w:tr w:rsidR="00FE3A2F" w:rsidRPr="00FE3A2F" w14:paraId="3E2E48E3" w14:textId="77777777" w:rsidTr="008E132C">
        <w:trPr>
          <w:trHeight w:val="388"/>
        </w:trPr>
        <w:tc>
          <w:tcPr>
            <w:tcW w:w="1838" w:type="dxa"/>
            <w:vAlign w:val="center"/>
          </w:tcPr>
          <w:p w14:paraId="6241239A" w14:textId="47ECACCC" w:rsidR="00FE3A2F" w:rsidRPr="00FE3A2F" w:rsidRDefault="00FE3A2F" w:rsidP="008E132C">
            <w:pPr>
              <w:spacing w:before="120" w:after="120"/>
              <w:jc w:val="center"/>
            </w:pPr>
            <w:r w:rsidRPr="00FE3A2F">
              <w:rPr>
                <w:b/>
              </w:rPr>
              <w:t>Actual body weight</w:t>
            </w:r>
          </w:p>
        </w:tc>
        <w:tc>
          <w:tcPr>
            <w:tcW w:w="3515" w:type="dxa"/>
            <w:vAlign w:val="center"/>
          </w:tcPr>
          <w:p w14:paraId="77FFC4A0" w14:textId="5DADD78A" w:rsidR="00FE3A2F" w:rsidRPr="00FE3A2F" w:rsidRDefault="00FE3A2F" w:rsidP="008E132C">
            <w:pPr>
              <w:spacing w:before="120" w:after="120"/>
              <w:jc w:val="center"/>
              <w:rPr>
                <w:lang w:val="fr-FR"/>
              </w:rPr>
            </w:pPr>
            <w:r w:rsidRPr="00FE3A2F">
              <w:rPr>
                <w:b/>
                <w:lang w:val="fr-FR"/>
              </w:rPr>
              <w:t>Enoxaparin Dose</w:t>
            </w:r>
          </w:p>
          <w:p w14:paraId="3C121F4C" w14:textId="7FE11522" w:rsidR="00FE3A2F" w:rsidRPr="00FE3A2F" w:rsidRDefault="00FE3A2F" w:rsidP="008E132C">
            <w:pPr>
              <w:spacing w:before="120" w:after="120"/>
              <w:jc w:val="center"/>
              <w:rPr>
                <w:lang w:val="fr-FR"/>
              </w:rPr>
            </w:pPr>
            <w:r w:rsidRPr="00FE3A2F">
              <w:rPr>
                <w:lang w:val="fr-FR"/>
              </w:rPr>
              <w:t>Via subcutaneous injection</w:t>
            </w:r>
            <w:r w:rsidR="008E132C">
              <w:rPr>
                <w:lang w:val="fr-FR"/>
              </w:rPr>
              <w:br/>
            </w:r>
            <w:r w:rsidRPr="00FE3A2F">
              <w:rPr>
                <w:lang w:val="fr-FR"/>
              </w:rPr>
              <w:t>CrCl ≥ 30 mL/min (1mg/kg)</w:t>
            </w:r>
            <w:r w:rsidR="005953AB">
              <w:rPr>
                <w:lang w:val="fr-FR"/>
              </w:rPr>
              <w:t xml:space="preserve"> BD</w:t>
            </w:r>
          </w:p>
        </w:tc>
        <w:tc>
          <w:tcPr>
            <w:tcW w:w="4423" w:type="dxa"/>
            <w:vAlign w:val="center"/>
          </w:tcPr>
          <w:p w14:paraId="1E478193" w14:textId="46C8FF17" w:rsidR="00FE3A2F" w:rsidRPr="00FE3A2F" w:rsidRDefault="00FE3A2F" w:rsidP="008E132C">
            <w:pPr>
              <w:spacing w:before="120" w:after="120"/>
              <w:jc w:val="center"/>
              <w:rPr>
                <w:lang w:val="fr-FR"/>
              </w:rPr>
            </w:pPr>
            <w:r w:rsidRPr="00FE3A2F">
              <w:rPr>
                <w:b/>
                <w:lang w:val="fr-FR"/>
              </w:rPr>
              <w:t>Enoxaparin Dose</w:t>
            </w:r>
          </w:p>
          <w:p w14:paraId="70BA8286" w14:textId="0864E3B7" w:rsidR="00FE3A2F" w:rsidRPr="00FE3A2F" w:rsidRDefault="00FE3A2F" w:rsidP="008E132C">
            <w:pPr>
              <w:spacing w:before="120" w:after="120"/>
              <w:jc w:val="center"/>
              <w:rPr>
                <w:lang w:val="fr-FR"/>
              </w:rPr>
            </w:pPr>
            <w:r w:rsidRPr="00FE3A2F">
              <w:rPr>
                <w:lang w:val="fr-FR"/>
              </w:rPr>
              <w:t>Via subcutaneous injection</w:t>
            </w:r>
            <w:r w:rsidR="008E132C">
              <w:rPr>
                <w:lang w:val="fr-FR"/>
              </w:rPr>
              <w:br/>
            </w:r>
            <w:r w:rsidRPr="00FE3A2F">
              <w:rPr>
                <w:lang w:val="fr-FR"/>
              </w:rPr>
              <w:t>CrCl &lt;30 mL/min (1mg/kg)</w:t>
            </w:r>
            <w:r w:rsidR="005953AB">
              <w:rPr>
                <w:lang w:val="fr-FR"/>
              </w:rPr>
              <w:t xml:space="preserve"> OD</w:t>
            </w:r>
          </w:p>
        </w:tc>
      </w:tr>
      <w:tr w:rsidR="00FE3A2F" w:rsidRPr="00FE3A2F" w14:paraId="7428A5E3" w14:textId="77777777" w:rsidTr="008E132C">
        <w:trPr>
          <w:trHeight w:val="112"/>
        </w:trPr>
        <w:tc>
          <w:tcPr>
            <w:tcW w:w="1838" w:type="dxa"/>
          </w:tcPr>
          <w:p w14:paraId="10AF1033" w14:textId="77777777" w:rsidR="00FE3A2F" w:rsidRPr="00FE3A2F" w:rsidRDefault="00FE3A2F" w:rsidP="008E132C">
            <w:pPr>
              <w:spacing w:before="120" w:after="120"/>
            </w:pPr>
            <w:r w:rsidRPr="00FE3A2F">
              <w:rPr>
                <w:b/>
              </w:rPr>
              <w:t xml:space="preserve">40 – 54 kg </w:t>
            </w:r>
          </w:p>
        </w:tc>
        <w:tc>
          <w:tcPr>
            <w:tcW w:w="3515" w:type="dxa"/>
          </w:tcPr>
          <w:p w14:paraId="270D1EF0" w14:textId="77777777" w:rsidR="00FE3A2F" w:rsidRPr="00FE3A2F" w:rsidRDefault="00FE3A2F" w:rsidP="008E132C">
            <w:pPr>
              <w:spacing w:before="120" w:after="120"/>
            </w:pPr>
            <w:r w:rsidRPr="00FE3A2F">
              <w:t xml:space="preserve">40 mg twice daily </w:t>
            </w:r>
          </w:p>
        </w:tc>
        <w:tc>
          <w:tcPr>
            <w:tcW w:w="4423" w:type="dxa"/>
          </w:tcPr>
          <w:p w14:paraId="3D68AFAF" w14:textId="77777777" w:rsidR="00FE3A2F" w:rsidRPr="00FE3A2F" w:rsidRDefault="00FE3A2F" w:rsidP="008E132C">
            <w:pPr>
              <w:spacing w:before="120" w:after="120"/>
            </w:pPr>
            <w:r w:rsidRPr="00FE3A2F">
              <w:t xml:space="preserve">40mg once daily </w:t>
            </w:r>
          </w:p>
        </w:tc>
      </w:tr>
      <w:tr w:rsidR="00FE3A2F" w:rsidRPr="00FE3A2F" w14:paraId="0299578C" w14:textId="77777777" w:rsidTr="008E132C">
        <w:trPr>
          <w:trHeight w:val="112"/>
        </w:trPr>
        <w:tc>
          <w:tcPr>
            <w:tcW w:w="1838" w:type="dxa"/>
          </w:tcPr>
          <w:p w14:paraId="5670E315" w14:textId="77777777" w:rsidR="00FE3A2F" w:rsidRPr="00FE3A2F" w:rsidRDefault="00FE3A2F" w:rsidP="008E132C">
            <w:pPr>
              <w:spacing w:before="120" w:after="120"/>
            </w:pPr>
            <w:r w:rsidRPr="00FE3A2F">
              <w:rPr>
                <w:b/>
              </w:rPr>
              <w:t xml:space="preserve">55 – 74 kg </w:t>
            </w:r>
          </w:p>
        </w:tc>
        <w:tc>
          <w:tcPr>
            <w:tcW w:w="3515" w:type="dxa"/>
          </w:tcPr>
          <w:p w14:paraId="43C492F1" w14:textId="77777777" w:rsidR="00FE3A2F" w:rsidRPr="00FE3A2F" w:rsidRDefault="00FE3A2F" w:rsidP="008E132C">
            <w:pPr>
              <w:spacing w:before="120" w:after="120"/>
            </w:pPr>
            <w:r w:rsidRPr="00FE3A2F">
              <w:t xml:space="preserve">60 mg twice daily </w:t>
            </w:r>
          </w:p>
        </w:tc>
        <w:tc>
          <w:tcPr>
            <w:tcW w:w="4423" w:type="dxa"/>
          </w:tcPr>
          <w:p w14:paraId="6745FA1F" w14:textId="77777777" w:rsidR="00FE3A2F" w:rsidRPr="00FE3A2F" w:rsidRDefault="00FE3A2F" w:rsidP="008E132C">
            <w:pPr>
              <w:spacing w:before="120" w:after="120"/>
            </w:pPr>
            <w:r w:rsidRPr="00FE3A2F">
              <w:t xml:space="preserve">60 mg once daily </w:t>
            </w:r>
          </w:p>
        </w:tc>
      </w:tr>
      <w:tr w:rsidR="00FE3A2F" w:rsidRPr="00FE3A2F" w14:paraId="4CDBCCF4" w14:textId="77777777" w:rsidTr="008E132C">
        <w:trPr>
          <w:trHeight w:val="112"/>
        </w:trPr>
        <w:tc>
          <w:tcPr>
            <w:tcW w:w="1838" w:type="dxa"/>
          </w:tcPr>
          <w:p w14:paraId="4FC058FF" w14:textId="77777777" w:rsidR="00FE3A2F" w:rsidRPr="00FE3A2F" w:rsidRDefault="00FE3A2F" w:rsidP="008E132C">
            <w:pPr>
              <w:spacing w:before="120" w:after="120"/>
            </w:pPr>
            <w:r w:rsidRPr="00FE3A2F">
              <w:rPr>
                <w:b/>
              </w:rPr>
              <w:t xml:space="preserve">75 – 89 kg </w:t>
            </w:r>
          </w:p>
        </w:tc>
        <w:tc>
          <w:tcPr>
            <w:tcW w:w="3515" w:type="dxa"/>
          </w:tcPr>
          <w:p w14:paraId="2122FEE4" w14:textId="77777777" w:rsidR="00FE3A2F" w:rsidRPr="00FE3A2F" w:rsidRDefault="00FE3A2F" w:rsidP="008E132C">
            <w:pPr>
              <w:spacing w:before="120" w:after="120"/>
            </w:pPr>
            <w:r w:rsidRPr="00FE3A2F">
              <w:t xml:space="preserve">80 mg twice daily </w:t>
            </w:r>
          </w:p>
        </w:tc>
        <w:tc>
          <w:tcPr>
            <w:tcW w:w="4423" w:type="dxa"/>
          </w:tcPr>
          <w:p w14:paraId="5699298C" w14:textId="77777777" w:rsidR="00FE3A2F" w:rsidRPr="00FE3A2F" w:rsidRDefault="00FE3A2F" w:rsidP="008E132C">
            <w:pPr>
              <w:spacing w:before="120" w:after="120"/>
            </w:pPr>
            <w:r w:rsidRPr="00FE3A2F">
              <w:t xml:space="preserve">80 mg once daily </w:t>
            </w:r>
          </w:p>
        </w:tc>
      </w:tr>
      <w:tr w:rsidR="00FE3A2F" w:rsidRPr="00FE3A2F" w14:paraId="46C624AB" w14:textId="77777777" w:rsidTr="008E132C">
        <w:trPr>
          <w:trHeight w:val="112"/>
        </w:trPr>
        <w:tc>
          <w:tcPr>
            <w:tcW w:w="1838" w:type="dxa"/>
          </w:tcPr>
          <w:p w14:paraId="27529877" w14:textId="77777777" w:rsidR="00FE3A2F" w:rsidRPr="00FE3A2F" w:rsidRDefault="00FE3A2F" w:rsidP="008E132C">
            <w:pPr>
              <w:spacing w:before="120" w:after="120"/>
            </w:pPr>
            <w:r w:rsidRPr="00FE3A2F">
              <w:rPr>
                <w:b/>
              </w:rPr>
              <w:t xml:space="preserve">90 – 114 kg </w:t>
            </w:r>
          </w:p>
        </w:tc>
        <w:tc>
          <w:tcPr>
            <w:tcW w:w="3515" w:type="dxa"/>
          </w:tcPr>
          <w:p w14:paraId="26AFCF52" w14:textId="77777777" w:rsidR="00FE3A2F" w:rsidRPr="00FE3A2F" w:rsidRDefault="00FE3A2F" w:rsidP="008E132C">
            <w:pPr>
              <w:spacing w:before="120" w:after="120"/>
            </w:pPr>
            <w:r w:rsidRPr="00FE3A2F">
              <w:t xml:space="preserve">100 mg twice daily </w:t>
            </w:r>
          </w:p>
        </w:tc>
        <w:tc>
          <w:tcPr>
            <w:tcW w:w="4423" w:type="dxa"/>
          </w:tcPr>
          <w:p w14:paraId="41B13835" w14:textId="77777777" w:rsidR="00FE3A2F" w:rsidRPr="00FE3A2F" w:rsidRDefault="00FE3A2F" w:rsidP="008E132C">
            <w:pPr>
              <w:spacing w:before="120" w:after="120"/>
            </w:pPr>
            <w:r w:rsidRPr="00FE3A2F">
              <w:t xml:space="preserve">100 mg once daily </w:t>
            </w:r>
          </w:p>
        </w:tc>
      </w:tr>
      <w:tr w:rsidR="00FE3A2F" w:rsidRPr="00FE3A2F" w14:paraId="5A67480A" w14:textId="77777777" w:rsidTr="008E132C">
        <w:trPr>
          <w:trHeight w:val="112"/>
        </w:trPr>
        <w:tc>
          <w:tcPr>
            <w:tcW w:w="1838" w:type="dxa"/>
          </w:tcPr>
          <w:p w14:paraId="3A797EAD" w14:textId="77777777" w:rsidR="00FE3A2F" w:rsidRPr="00FE3A2F" w:rsidRDefault="00FE3A2F" w:rsidP="008E132C">
            <w:pPr>
              <w:spacing w:before="120" w:after="120"/>
            </w:pPr>
            <w:r w:rsidRPr="00FE3A2F">
              <w:rPr>
                <w:b/>
              </w:rPr>
              <w:t xml:space="preserve">115 – 120 kg </w:t>
            </w:r>
          </w:p>
        </w:tc>
        <w:tc>
          <w:tcPr>
            <w:tcW w:w="3515" w:type="dxa"/>
          </w:tcPr>
          <w:p w14:paraId="61FD826B" w14:textId="77777777" w:rsidR="00FE3A2F" w:rsidRPr="00FE3A2F" w:rsidRDefault="00FE3A2F" w:rsidP="008E132C">
            <w:pPr>
              <w:spacing w:before="120" w:after="120"/>
            </w:pPr>
            <w:r w:rsidRPr="00FE3A2F">
              <w:t xml:space="preserve">120 mg twice daily </w:t>
            </w:r>
          </w:p>
        </w:tc>
        <w:tc>
          <w:tcPr>
            <w:tcW w:w="4423" w:type="dxa"/>
          </w:tcPr>
          <w:p w14:paraId="55813F53" w14:textId="77777777" w:rsidR="00FE3A2F" w:rsidRPr="00FE3A2F" w:rsidRDefault="00FE3A2F" w:rsidP="008E132C">
            <w:pPr>
              <w:spacing w:before="120" w:after="120"/>
            </w:pPr>
            <w:r w:rsidRPr="00FE3A2F">
              <w:t xml:space="preserve">120 mg once daily </w:t>
            </w:r>
          </w:p>
        </w:tc>
      </w:tr>
      <w:tr w:rsidR="00CD61F4" w:rsidRPr="00FE3A2F" w14:paraId="7EC37D60" w14:textId="77777777" w:rsidTr="007A2E52">
        <w:trPr>
          <w:trHeight w:val="112"/>
        </w:trPr>
        <w:tc>
          <w:tcPr>
            <w:tcW w:w="1838" w:type="dxa"/>
          </w:tcPr>
          <w:p w14:paraId="47438F42" w14:textId="77777777" w:rsidR="00CD61F4" w:rsidRPr="00FE3A2F" w:rsidRDefault="00CD61F4" w:rsidP="008E132C">
            <w:pPr>
              <w:spacing w:before="120" w:after="120"/>
            </w:pPr>
            <w:bookmarkStart w:id="58" w:name="_Hlk170307547"/>
            <w:r w:rsidRPr="00FE3A2F">
              <w:rPr>
                <w:b/>
              </w:rPr>
              <w:t xml:space="preserve">121 – 140 kg </w:t>
            </w:r>
          </w:p>
        </w:tc>
        <w:tc>
          <w:tcPr>
            <w:tcW w:w="3515" w:type="dxa"/>
          </w:tcPr>
          <w:p w14:paraId="05DBB8D6" w14:textId="77777777" w:rsidR="00CD61F4" w:rsidRPr="00FE3A2F" w:rsidRDefault="00CD61F4" w:rsidP="008E132C">
            <w:pPr>
              <w:spacing w:before="120" w:after="120"/>
            </w:pPr>
            <w:r w:rsidRPr="00FE3A2F">
              <w:t xml:space="preserve">120 mg twice daily </w:t>
            </w:r>
          </w:p>
        </w:tc>
        <w:tc>
          <w:tcPr>
            <w:tcW w:w="4423" w:type="dxa"/>
          </w:tcPr>
          <w:p w14:paraId="3939F046" w14:textId="77777777" w:rsidR="00CD61F4" w:rsidRPr="00FE3A2F" w:rsidRDefault="00CD61F4" w:rsidP="008E132C">
            <w:pPr>
              <w:spacing w:before="120" w:after="120"/>
            </w:pPr>
            <w:r w:rsidRPr="00FE3A2F">
              <w:t xml:space="preserve">60 mg twice daily * </w:t>
            </w:r>
          </w:p>
        </w:tc>
      </w:tr>
      <w:tr w:rsidR="00CD61F4" w:rsidRPr="00FE3A2F" w14:paraId="777AFCA3" w14:textId="77777777" w:rsidTr="00CE0F97">
        <w:trPr>
          <w:trHeight w:val="112"/>
        </w:trPr>
        <w:tc>
          <w:tcPr>
            <w:tcW w:w="1838" w:type="dxa"/>
          </w:tcPr>
          <w:p w14:paraId="2CADC4D0" w14:textId="77777777" w:rsidR="00CD61F4" w:rsidRPr="00FE3A2F" w:rsidRDefault="00CD61F4" w:rsidP="008E132C">
            <w:pPr>
              <w:spacing w:before="120" w:after="120"/>
            </w:pPr>
            <w:r w:rsidRPr="00FE3A2F">
              <w:rPr>
                <w:b/>
              </w:rPr>
              <w:t xml:space="preserve">141 – 170 kg </w:t>
            </w:r>
          </w:p>
        </w:tc>
        <w:tc>
          <w:tcPr>
            <w:tcW w:w="3515" w:type="dxa"/>
          </w:tcPr>
          <w:p w14:paraId="216419A2" w14:textId="77777777" w:rsidR="00CD61F4" w:rsidRPr="00FE3A2F" w:rsidRDefault="00CD61F4" w:rsidP="008E132C">
            <w:pPr>
              <w:spacing w:before="120" w:after="120"/>
            </w:pPr>
            <w:r w:rsidRPr="00FE3A2F">
              <w:t xml:space="preserve">150 mg twice daily </w:t>
            </w:r>
          </w:p>
        </w:tc>
        <w:tc>
          <w:tcPr>
            <w:tcW w:w="4423" w:type="dxa"/>
          </w:tcPr>
          <w:p w14:paraId="3E20481B" w14:textId="77777777" w:rsidR="00CD61F4" w:rsidRPr="00FE3A2F" w:rsidRDefault="00CD61F4" w:rsidP="008E132C">
            <w:pPr>
              <w:spacing w:before="120" w:after="120"/>
            </w:pPr>
            <w:r w:rsidRPr="00FE3A2F">
              <w:t xml:space="preserve">80 mg twice daily * </w:t>
            </w:r>
          </w:p>
        </w:tc>
      </w:tr>
      <w:tr w:rsidR="00CD61F4" w:rsidRPr="00FE3A2F" w14:paraId="15C07C21" w14:textId="77777777" w:rsidTr="00280751">
        <w:trPr>
          <w:trHeight w:val="112"/>
        </w:trPr>
        <w:tc>
          <w:tcPr>
            <w:tcW w:w="1838" w:type="dxa"/>
          </w:tcPr>
          <w:p w14:paraId="443AE855" w14:textId="77777777" w:rsidR="00CD61F4" w:rsidRPr="00FE3A2F" w:rsidRDefault="00CD61F4" w:rsidP="008E132C">
            <w:pPr>
              <w:spacing w:before="120" w:after="120"/>
            </w:pPr>
            <w:r w:rsidRPr="00FE3A2F">
              <w:rPr>
                <w:b/>
              </w:rPr>
              <w:t xml:space="preserve">171 – 190 kg </w:t>
            </w:r>
          </w:p>
        </w:tc>
        <w:tc>
          <w:tcPr>
            <w:tcW w:w="3515" w:type="dxa"/>
          </w:tcPr>
          <w:p w14:paraId="22EFED1B" w14:textId="77777777" w:rsidR="00CD61F4" w:rsidRPr="00FE3A2F" w:rsidRDefault="00CD61F4" w:rsidP="008E132C">
            <w:pPr>
              <w:spacing w:before="120" w:after="120"/>
            </w:pPr>
            <w:r w:rsidRPr="00FE3A2F">
              <w:t xml:space="preserve">150 mg twice daily </w:t>
            </w:r>
          </w:p>
        </w:tc>
        <w:tc>
          <w:tcPr>
            <w:tcW w:w="4423" w:type="dxa"/>
          </w:tcPr>
          <w:p w14:paraId="53AFAE59" w14:textId="77777777" w:rsidR="00CD61F4" w:rsidRPr="00FE3A2F" w:rsidRDefault="00CD61F4" w:rsidP="008E132C">
            <w:pPr>
              <w:spacing w:before="120" w:after="120"/>
            </w:pPr>
            <w:r w:rsidRPr="00FE3A2F">
              <w:t xml:space="preserve">80 mg twice daily * </w:t>
            </w:r>
          </w:p>
        </w:tc>
      </w:tr>
      <w:tr w:rsidR="00FE3A2F" w:rsidRPr="00FE3A2F" w14:paraId="5D19EBBC" w14:textId="77777777" w:rsidTr="008E132C">
        <w:trPr>
          <w:trHeight w:val="112"/>
        </w:trPr>
        <w:tc>
          <w:tcPr>
            <w:tcW w:w="1838" w:type="dxa"/>
          </w:tcPr>
          <w:p w14:paraId="1466B1C4" w14:textId="77777777" w:rsidR="00FE3A2F" w:rsidRPr="00FE3A2F" w:rsidRDefault="00FE3A2F" w:rsidP="008E132C">
            <w:pPr>
              <w:spacing w:before="120" w:after="120"/>
            </w:pPr>
            <w:r w:rsidRPr="00FE3A2F">
              <w:rPr>
                <w:b/>
              </w:rPr>
              <w:t xml:space="preserve">191 – 200 kg </w:t>
            </w:r>
          </w:p>
        </w:tc>
        <w:tc>
          <w:tcPr>
            <w:tcW w:w="3515" w:type="dxa"/>
          </w:tcPr>
          <w:p w14:paraId="42BE7363" w14:textId="77777777" w:rsidR="00FE3A2F" w:rsidRPr="00FE3A2F" w:rsidRDefault="00FE3A2F" w:rsidP="008E132C">
            <w:pPr>
              <w:spacing w:before="120" w:after="120"/>
            </w:pPr>
            <w:r w:rsidRPr="00FE3A2F">
              <w:t xml:space="preserve">150 mg twice daily </w:t>
            </w:r>
          </w:p>
        </w:tc>
        <w:tc>
          <w:tcPr>
            <w:tcW w:w="4423" w:type="dxa"/>
          </w:tcPr>
          <w:p w14:paraId="1F5D65DF" w14:textId="77777777" w:rsidR="00FE3A2F" w:rsidRPr="00FE3A2F" w:rsidRDefault="00FE3A2F" w:rsidP="008E132C">
            <w:pPr>
              <w:spacing w:before="120" w:after="120"/>
            </w:pPr>
            <w:r w:rsidRPr="00FE3A2F">
              <w:t xml:space="preserve">100mg twice daily </w:t>
            </w:r>
          </w:p>
        </w:tc>
      </w:tr>
      <w:bookmarkEnd w:id="58"/>
      <w:tr w:rsidR="00FE3A2F" w:rsidRPr="00FE3A2F" w14:paraId="223CAFCD" w14:textId="77777777" w:rsidTr="00FB0635">
        <w:trPr>
          <w:trHeight w:val="112"/>
        </w:trPr>
        <w:tc>
          <w:tcPr>
            <w:tcW w:w="9776" w:type="dxa"/>
            <w:gridSpan w:val="3"/>
          </w:tcPr>
          <w:p w14:paraId="46756F53" w14:textId="77777777" w:rsidR="00FE3A2F" w:rsidRPr="00FE3A2F" w:rsidRDefault="00FE3A2F" w:rsidP="008E132C">
            <w:pPr>
              <w:spacing w:before="120" w:after="120"/>
            </w:pPr>
            <w:r w:rsidRPr="00FE3A2F">
              <w:rPr>
                <w:b/>
              </w:rPr>
              <w:t xml:space="preserve">For patients over 200kg start at dose for 191 – 200 kg and contact haematology </w:t>
            </w:r>
          </w:p>
        </w:tc>
      </w:tr>
      <w:tr w:rsidR="00FE3A2F" w:rsidRPr="00FE3A2F" w14:paraId="2DDF28DD" w14:textId="77777777" w:rsidTr="00FB0635">
        <w:trPr>
          <w:trHeight w:val="250"/>
        </w:trPr>
        <w:tc>
          <w:tcPr>
            <w:tcW w:w="9776" w:type="dxa"/>
            <w:gridSpan w:val="3"/>
          </w:tcPr>
          <w:p w14:paraId="0D310D7D" w14:textId="77777777" w:rsidR="00FE3A2F" w:rsidRPr="00FE3A2F" w:rsidRDefault="00FE3A2F" w:rsidP="008E132C">
            <w:pPr>
              <w:spacing w:before="120" w:after="120"/>
            </w:pPr>
            <w:r w:rsidRPr="00FE3A2F">
              <w:t xml:space="preserve">* For patients weighing more than 120kg with CrCl &lt;30 mL/min, it is acceptable to split the dose to twice daily dosing if concern over bleeding risk with high anti-Xa peaks. </w:t>
            </w:r>
          </w:p>
        </w:tc>
      </w:tr>
      <w:tr w:rsidR="00FE3A2F" w:rsidRPr="00FE3A2F" w14:paraId="656DD5AE" w14:textId="77777777" w:rsidTr="00FB0635">
        <w:trPr>
          <w:trHeight w:val="112"/>
        </w:trPr>
        <w:tc>
          <w:tcPr>
            <w:tcW w:w="9776" w:type="dxa"/>
            <w:gridSpan w:val="3"/>
          </w:tcPr>
          <w:p w14:paraId="652F5F74" w14:textId="198FDD83" w:rsidR="00FE3A2F" w:rsidRPr="00FE3A2F" w:rsidRDefault="00FE3A2F" w:rsidP="008E132C">
            <w:pPr>
              <w:spacing w:before="120" w:after="120"/>
            </w:pPr>
            <w:r w:rsidRPr="00FE3A2F">
              <w:t>Twice daily LMWH doses should be prescribed 12 hourly</w:t>
            </w:r>
            <w:r w:rsidR="007244B5">
              <w:t>.</w:t>
            </w:r>
          </w:p>
        </w:tc>
      </w:tr>
    </w:tbl>
    <w:p w14:paraId="41AB6DAB" w14:textId="77777777" w:rsidR="00FE3A2F" w:rsidRPr="00FE3A2F" w:rsidRDefault="00FE3A2F" w:rsidP="00FE3A2F"/>
    <w:p w14:paraId="689B23D1" w14:textId="77777777" w:rsidR="00FE3A2F" w:rsidRPr="00FE3A2F" w:rsidRDefault="00FE3A2F" w:rsidP="00FE3A2F"/>
    <w:p w14:paraId="54031F6C" w14:textId="33CA6C44" w:rsidR="00FE3A2F" w:rsidRDefault="00FE3A2F" w:rsidP="008E132C">
      <w:pPr>
        <w:pStyle w:val="Heading2"/>
      </w:pPr>
      <w:bookmarkStart w:id="59" w:name="_Toc184021156"/>
      <w:r w:rsidRPr="00FE3A2F">
        <w:t>Monitoring</w:t>
      </w:r>
      <w:bookmarkEnd w:id="59"/>
    </w:p>
    <w:p w14:paraId="679C0C82" w14:textId="77777777" w:rsidR="008E132C" w:rsidRPr="008E132C" w:rsidRDefault="008E132C" w:rsidP="008E132C"/>
    <w:p w14:paraId="16D94808" w14:textId="2D99C1EA" w:rsidR="00FE3A2F" w:rsidRPr="00FE3A2F" w:rsidRDefault="00FE3A2F" w:rsidP="008E132C">
      <w:pPr>
        <w:pStyle w:val="BulletLevel1"/>
      </w:pPr>
      <w:r w:rsidRPr="00FE3A2F">
        <w:t xml:space="preserve">Anti-Xa levels are not required for all patients receiving therapeutic LMWH treatment. </w:t>
      </w:r>
    </w:p>
    <w:p w14:paraId="28AD0D8F" w14:textId="6898D58E" w:rsidR="00FE3A2F" w:rsidRDefault="00FE3A2F" w:rsidP="008E132C">
      <w:pPr>
        <w:ind w:left="567"/>
      </w:pPr>
      <w:r w:rsidRPr="00FE3A2F">
        <w:t xml:space="preserve">Consider monitoring Anti-Xa levels for: </w:t>
      </w:r>
    </w:p>
    <w:p w14:paraId="11EDF8B3" w14:textId="14A82BA0" w:rsidR="00FE3A2F" w:rsidRPr="00FE3A2F" w:rsidRDefault="00FE3A2F" w:rsidP="008E132C">
      <w:pPr>
        <w:pStyle w:val="BulletLevel2"/>
      </w:pPr>
      <w:r w:rsidRPr="00FE3A2F">
        <w:t xml:space="preserve">Patients &gt;150kg </w:t>
      </w:r>
    </w:p>
    <w:p w14:paraId="2349A149" w14:textId="0AE7FE8A" w:rsidR="00FE3A2F" w:rsidRPr="00FE3A2F" w:rsidRDefault="00FE3A2F" w:rsidP="008E132C">
      <w:pPr>
        <w:pStyle w:val="BulletLevel2"/>
      </w:pPr>
      <w:r w:rsidRPr="00FE3A2F">
        <w:t xml:space="preserve">Those with CrCl &lt;15 mL/min </w:t>
      </w:r>
    </w:p>
    <w:p w14:paraId="5ABD39B8" w14:textId="77777777" w:rsidR="00FE3A2F" w:rsidRPr="00FE3A2F" w:rsidRDefault="00FE3A2F" w:rsidP="00FE3A2F"/>
    <w:p w14:paraId="75B53801" w14:textId="198D3758" w:rsidR="00FE3A2F" w:rsidRPr="00FE3A2F" w:rsidRDefault="00FE3A2F" w:rsidP="008E132C">
      <w:pPr>
        <w:pStyle w:val="BulletLevel1"/>
      </w:pPr>
      <w:r w:rsidRPr="00FE3A2F">
        <w:t>Levels should be taken 4 hours post third dose. When monitoring anti-Xa levels in patients prescribed therapeutic LMWH the standard target for peak levels is</w:t>
      </w:r>
      <w:r w:rsidR="00B4756B">
        <w:br/>
      </w:r>
      <w:r w:rsidRPr="00FE3A2F">
        <w:t xml:space="preserve">0.5-1.2 units/ml with twice daily dosing. </w:t>
      </w:r>
      <w:r w:rsidR="00B4756B">
        <w:t xml:space="preserve"> </w:t>
      </w:r>
      <w:r w:rsidRPr="00FE3A2F">
        <w:t xml:space="preserve">Certain patients may require higher peak targets. </w:t>
      </w:r>
      <w:r w:rsidR="00B4756B">
        <w:t xml:space="preserve"> </w:t>
      </w:r>
      <w:r w:rsidRPr="00FE3A2F">
        <w:t>This may include patients with mechanical heart valves or patients with recurrent VTE whilst therapeutically anticoagulated.</w:t>
      </w:r>
      <w:r w:rsidR="00B4756B">
        <w:t xml:space="preserve"> </w:t>
      </w:r>
      <w:r w:rsidRPr="00FE3A2F">
        <w:t xml:space="preserve"> Higher target peaks should be agreed following discussion with haematology. </w:t>
      </w:r>
    </w:p>
    <w:p w14:paraId="5FB877CC" w14:textId="77777777" w:rsidR="00FE3A2F" w:rsidRPr="00FE3A2F" w:rsidRDefault="00FE3A2F" w:rsidP="008E132C">
      <w:pPr>
        <w:ind w:left="567"/>
      </w:pPr>
      <w:r w:rsidRPr="00FE3A2F">
        <w:lastRenderedPageBreak/>
        <w:t xml:space="preserve">The dose can be titrated up or down if levels out of range. Contact haematology for advice if required. It can be useful to monitor trough anti-xa levels, these should be taken immediately pre dose and can be used to determine whether the patient is clearing LMWH effectively. </w:t>
      </w:r>
    </w:p>
    <w:p w14:paraId="42D8C3F2" w14:textId="77777777" w:rsidR="00FE3A2F" w:rsidRPr="00FE3A2F" w:rsidRDefault="00FE3A2F" w:rsidP="00FE3A2F"/>
    <w:p w14:paraId="47F01C5A" w14:textId="77777777" w:rsidR="00FE3A2F" w:rsidRDefault="00FE3A2F" w:rsidP="008E132C">
      <w:pPr>
        <w:pStyle w:val="Heading2"/>
      </w:pPr>
      <w:bookmarkStart w:id="60" w:name="_Toc170131881"/>
      <w:bookmarkStart w:id="61" w:name="_Toc184021157"/>
      <w:r w:rsidRPr="00FE3A2F">
        <w:t>Reversal of Enoxaparin</w:t>
      </w:r>
      <w:bookmarkEnd w:id="60"/>
      <w:bookmarkEnd w:id="61"/>
    </w:p>
    <w:p w14:paraId="18E833FE" w14:textId="77777777" w:rsidR="008E132C" w:rsidRPr="008E132C" w:rsidRDefault="008E132C" w:rsidP="008E132C"/>
    <w:p w14:paraId="617C94D1" w14:textId="77777777" w:rsidR="00FE3A2F" w:rsidRPr="00FE3A2F" w:rsidRDefault="00FE3A2F" w:rsidP="00FE3A2F">
      <w:r w:rsidRPr="00FE3A2F">
        <w:t>Protamine sulphate – the anticoagulant effects of LMWH are not completely reversed by protamine sulphate, but this drug should be considered if patients are suffering significant haemorrhage following recent (&lt;12 hours) administration of a therapeutic dose of LMWH.  - Liaise with haematology </w:t>
      </w:r>
    </w:p>
    <w:p w14:paraId="0365F3E4" w14:textId="77777777" w:rsidR="00FE3A2F" w:rsidRPr="00FE3A2F" w:rsidRDefault="00FE3A2F" w:rsidP="00FE3A2F"/>
    <w:p w14:paraId="794A1CC2" w14:textId="3A726BE2" w:rsidR="00FE3A2F" w:rsidRPr="00FE3A2F" w:rsidRDefault="00FE3A2F" w:rsidP="00FE3A2F">
      <w:r w:rsidRPr="00FE3A2F">
        <w:t>If within 8 hours of dose: 1 mg of protamine for each 1 mg of enoxaparin</w:t>
      </w:r>
      <w:r w:rsidR="00B4756B">
        <w:t xml:space="preserve"> </w:t>
      </w:r>
      <w:r w:rsidRPr="00FE3A2F">
        <w:t>(</w:t>
      </w:r>
      <w:r w:rsidR="00B4756B">
        <w:t>m</w:t>
      </w:r>
      <w:r w:rsidRPr="00FE3A2F">
        <w:t>ax dose 50mg, Protamine sulphate should be given slower than 5 mg/min to minimize the risk of adverse reactions.) - Consider repeat one-half dose of protamine (0.5mg) if ineffective . </w:t>
      </w:r>
    </w:p>
    <w:p w14:paraId="2B3E41C1" w14:textId="77777777" w:rsidR="00FE3A2F" w:rsidRPr="00FE3A2F" w:rsidRDefault="00FE3A2F" w:rsidP="00FE3A2F"/>
    <w:p w14:paraId="0E6D4595" w14:textId="52A1A085" w:rsidR="00FE3A2F" w:rsidRPr="00FE3A2F" w:rsidRDefault="00FE3A2F" w:rsidP="00FE3A2F">
      <w:r w:rsidRPr="00FE3A2F">
        <w:t xml:space="preserve">If &gt;8 hours after dose: give 0.5 mg for each 1 mg of enoxaparin </w:t>
      </w:r>
      <w:r w:rsidR="00B4756B">
        <w:br/>
      </w:r>
      <w:r w:rsidRPr="00FE3A2F">
        <w:t>(Max dose 50mg, Protamine sulphate should be given slower than 5 mg/min to minimize the risk of adverse reactions).</w:t>
      </w:r>
    </w:p>
    <w:p w14:paraId="11132F03" w14:textId="77777777" w:rsidR="00FE3A2F" w:rsidRPr="00FE3A2F" w:rsidRDefault="00FE3A2F" w:rsidP="00FE3A2F"/>
    <w:p w14:paraId="27FF3D50" w14:textId="09C1A10C" w:rsidR="00FE3A2F" w:rsidRPr="00FE3A2F" w:rsidRDefault="00FE3A2F" w:rsidP="008E132C">
      <w:pPr>
        <w:pStyle w:val="Heading2"/>
      </w:pPr>
      <w:bookmarkStart w:id="62" w:name="_Toc428263372"/>
      <w:bookmarkStart w:id="63" w:name="_Toc522284754"/>
      <w:bookmarkStart w:id="64" w:name="_Toc184021158"/>
      <w:r w:rsidRPr="00FE3A2F">
        <w:t>Communication at Discharge or Transfer</w:t>
      </w:r>
      <w:bookmarkEnd w:id="62"/>
      <w:bookmarkEnd w:id="63"/>
      <w:bookmarkEnd w:id="64"/>
    </w:p>
    <w:p w14:paraId="05DFFAE3" w14:textId="77777777" w:rsidR="00FE3A2F" w:rsidRPr="00FE3A2F" w:rsidRDefault="00FE3A2F" w:rsidP="00FE3A2F"/>
    <w:p w14:paraId="7CA87B40" w14:textId="67EF8F15" w:rsidR="00FE3A2F" w:rsidRPr="00FE3A2F" w:rsidRDefault="00FE3A2F" w:rsidP="00FE3A2F">
      <w:r w:rsidRPr="00FE3A2F">
        <w:t xml:space="preserve">Patients who are discharged from hospital on enoxaparin are still under routine care of the hospital specialist unless the GP has agreed to take over management (see LSCMMG Prescribing Guide </w:t>
      </w:r>
      <w:hyperlink r:id="rId19" w:history="1">
        <w:r w:rsidRPr="00FE3A2F">
          <w:rPr>
            <w:rStyle w:val="Hyperlink"/>
          </w:rPr>
          <w:t>https://www.lancsmmg.nhs.uk/media/1259/low-molecular-weigh-heparins-summary-prescribing-guide-version-14.pdf</w:t>
        </w:r>
      </w:hyperlink>
      <w:sdt>
        <w:sdtPr>
          <w:id w:val="1864547746"/>
          <w:citation/>
        </w:sdtPr>
        <w:sdtEndPr/>
        <w:sdtContent>
          <w:r w:rsidR="00CE2299">
            <w:fldChar w:fldCharType="begin"/>
          </w:r>
          <w:r w:rsidR="00CE2299">
            <w:instrText xml:space="preserve"> CITATION Lan192 \l 2057 </w:instrText>
          </w:r>
          <w:r w:rsidR="00CE2299">
            <w:fldChar w:fldCharType="separate"/>
          </w:r>
          <w:r w:rsidR="00CE2299">
            <w:rPr>
              <w:noProof/>
            </w:rPr>
            <w:t xml:space="preserve"> (6)</w:t>
          </w:r>
          <w:r w:rsidR="00CE2299">
            <w:fldChar w:fldCharType="end"/>
          </w:r>
        </w:sdtContent>
      </w:sdt>
    </w:p>
    <w:p w14:paraId="668D4D92" w14:textId="77777777" w:rsidR="00FE3A2F" w:rsidRPr="00FE3A2F" w:rsidRDefault="00FE3A2F" w:rsidP="00FE3A2F">
      <w:pPr>
        <w:rPr>
          <w:b/>
        </w:rPr>
      </w:pPr>
    </w:p>
    <w:p w14:paraId="55E5B5AD" w14:textId="6E4AB761" w:rsidR="00FE3A2F" w:rsidRPr="00FE3A2F" w:rsidRDefault="00FE3A2F" w:rsidP="00FE3A2F">
      <w:r w:rsidRPr="00FE3A2F">
        <w:t>On the e-discharge or out-patient prescription, the prescriber must document:</w:t>
      </w:r>
    </w:p>
    <w:p w14:paraId="68778D4E" w14:textId="77777777" w:rsidR="00FE3A2F" w:rsidRPr="00FE3A2F" w:rsidRDefault="00FE3A2F" w:rsidP="00FE3A2F"/>
    <w:p w14:paraId="4D74D2E9" w14:textId="77777777" w:rsidR="00FE3A2F" w:rsidRPr="00FE3A2F" w:rsidRDefault="00FE3A2F" w:rsidP="008E132C">
      <w:pPr>
        <w:pStyle w:val="BulletLevel1"/>
      </w:pPr>
      <w:r w:rsidRPr="00FE3A2F">
        <w:rPr>
          <w:b/>
        </w:rPr>
        <w:t xml:space="preserve">Clinical indication </w:t>
      </w:r>
      <w:r w:rsidRPr="00FE3A2F">
        <w:tab/>
        <w:t>e.g. Deep Vein Thrombosis (DVT)</w:t>
      </w:r>
    </w:p>
    <w:p w14:paraId="4FEFE13F" w14:textId="77777777" w:rsidR="00FE3A2F" w:rsidRPr="00FE3A2F" w:rsidRDefault="00FE3A2F" w:rsidP="008E132C">
      <w:pPr>
        <w:pStyle w:val="BulletLevel1"/>
      </w:pPr>
      <w:r w:rsidRPr="00FE3A2F">
        <w:rPr>
          <w:b/>
        </w:rPr>
        <w:t>Weight</w:t>
      </w:r>
      <w:r w:rsidRPr="00FE3A2F">
        <w:tab/>
        <w:t>e.g. 70kg</w:t>
      </w:r>
    </w:p>
    <w:p w14:paraId="7B3F6CEC" w14:textId="16863504" w:rsidR="00FE3A2F" w:rsidRPr="00FE3A2F" w:rsidRDefault="00FE3A2F" w:rsidP="008E132C">
      <w:pPr>
        <w:pStyle w:val="BulletLevel1"/>
        <w:rPr>
          <w:b/>
        </w:rPr>
      </w:pPr>
      <w:r w:rsidRPr="00FE3A2F">
        <w:rPr>
          <w:b/>
        </w:rPr>
        <w:t>Renal function</w:t>
      </w:r>
      <w:r w:rsidRPr="00FE3A2F">
        <w:t xml:space="preserve"> </w:t>
      </w:r>
      <w:r w:rsidRPr="00FE3A2F">
        <w:rPr>
          <w:b/>
        </w:rPr>
        <w:t>result</w:t>
      </w:r>
      <w:r w:rsidRPr="00FE3A2F">
        <w:tab/>
        <w:t xml:space="preserve">e.g. Cr </w:t>
      </w:r>
      <w:r w:rsidR="00CE2299" w:rsidRPr="00FE3A2F">
        <w:t>Cl 90</w:t>
      </w:r>
      <w:r w:rsidRPr="00FE3A2F">
        <w:t xml:space="preserve"> ml/min</w:t>
      </w:r>
      <w:r w:rsidRPr="00FE3A2F">
        <w:rPr>
          <w:b/>
        </w:rPr>
        <w:t xml:space="preserve"> </w:t>
      </w:r>
    </w:p>
    <w:p w14:paraId="54354813" w14:textId="77777777" w:rsidR="00FE3A2F" w:rsidRPr="00FE3A2F" w:rsidRDefault="00FE3A2F" w:rsidP="008E132C">
      <w:pPr>
        <w:pStyle w:val="BulletLevel1"/>
      </w:pPr>
      <w:r w:rsidRPr="00FE3A2F">
        <w:rPr>
          <w:b/>
        </w:rPr>
        <w:t xml:space="preserve">Dose </w:t>
      </w:r>
      <w:r w:rsidRPr="00FE3A2F">
        <w:tab/>
        <w:t>e.g. 100 mg OD</w:t>
      </w:r>
    </w:p>
    <w:p w14:paraId="7300FD44" w14:textId="77777777" w:rsidR="00FE3A2F" w:rsidRPr="00FE3A2F" w:rsidRDefault="00FE3A2F" w:rsidP="008E132C">
      <w:pPr>
        <w:pStyle w:val="BulletLevel1"/>
      </w:pPr>
      <w:r w:rsidRPr="00FE3A2F">
        <w:rPr>
          <w:b/>
        </w:rPr>
        <w:t>Duration of treatment / therapeutic goal for therapy</w:t>
      </w:r>
      <w:r w:rsidRPr="00FE3A2F">
        <w:tab/>
        <w:t>e.g. 3 months</w:t>
      </w:r>
    </w:p>
    <w:p w14:paraId="2CA21296" w14:textId="77777777" w:rsidR="00FE3A2F" w:rsidRPr="00FE3A2F" w:rsidRDefault="00FE3A2F" w:rsidP="008E132C">
      <w:pPr>
        <w:pStyle w:val="BulletLevel1"/>
      </w:pPr>
      <w:r w:rsidRPr="00FE3A2F">
        <w:rPr>
          <w:b/>
        </w:rPr>
        <w:t>Baseline Blood Test Results</w:t>
      </w:r>
      <w:r w:rsidRPr="00FE3A2F">
        <w:t xml:space="preserve"> </w:t>
      </w:r>
      <w:r w:rsidRPr="00FE3A2F">
        <w:rPr>
          <w:b/>
        </w:rPr>
        <w:t>and dates taken</w:t>
      </w:r>
    </w:p>
    <w:p w14:paraId="5211812B" w14:textId="77777777" w:rsidR="00FE3A2F" w:rsidRPr="00FE3A2F" w:rsidRDefault="00FE3A2F" w:rsidP="008E132C">
      <w:pPr>
        <w:pStyle w:val="BulletLevel1"/>
        <w:rPr>
          <w:b/>
        </w:rPr>
      </w:pPr>
      <w:r w:rsidRPr="00FE3A2F">
        <w:rPr>
          <w:b/>
        </w:rPr>
        <w:t>Dates for follow up blood tests</w:t>
      </w:r>
    </w:p>
    <w:p w14:paraId="04952A56" w14:textId="77777777" w:rsidR="00FE3A2F" w:rsidRPr="00FE3A2F" w:rsidRDefault="00FE3A2F" w:rsidP="00FE3A2F">
      <w:pPr>
        <w:rPr>
          <w:b/>
        </w:rPr>
      </w:pPr>
    </w:p>
    <w:p w14:paraId="6985E54E" w14:textId="3BB60821" w:rsidR="00FE3A2F" w:rsidRPr="00FE3A2F" w:rsidRDefault="00FE3A2F" w:rsidP="00FE3A2F">
      <w:r w:rsidRPr="00FE3A2F">
        <w:rPr>
          <w:b/>
        </w:rPr>
        <w:t xml:space="preserve">Prior </w:t>
      </w:r>
      <w:r w:rsidRPr="00FE3A2F">
        <w:t>to discharge the patient</w:t>
      </w:r>
      <w:r w:rsidRPr="00FE3A2F">
        <w:rPr>
          <w:b/>
        </w:rPr>
        <w:t xml:space="preserve"> must </w:t>
      </w:r>
      <w:r w:rsidRPr="00FE3A2F">
        <w:t xml:space="preserve">be supported to self-administer their medication and provided with all required information and advice. They must be given appropriate training and </w:t>
      </w:r>
      <w:r w:rsidR="00CE2299" w:rsidRPr="00FE3A2F">
        <w:t>education and</w:t>
      </w:r>
      <w:r w:rsidRPr="00FE3A2F">
        <w:t xml:space="preserve"> have been assessed as competent to undertake the procedure safely.</w:t>
      </w:r>
    </w:p>
    <w:p w14:paraId="50BAC6CA" w14:textId="77777777" w:rsidR="00FE3A2F" w:rsidRPr="00FE3A2F" w:rsidRDefault="00FE3A2F" w:rsidP="00FE3A2F">
      <w:pPr>
        <w:rPr>
          <w:b/>
        </w:rPr>
      </w:pPr>
    </w:p>
    <w:p w14:paraId="28690AFA" w14:textId="2028E755" w:rsidR="00FE3A2F" w:rsidRPr="00FE3A2F" w:rsidRDefault="00FE3A2F" w:rsidP="00FE3A2F">
      <w:pPr>
        <w:rPr>
          <w:b/>
          <w:u w:val="single"/>
        </w:rPr>
      </w:pPr>
      <w:r w:rsidRPr="00FE3A2F">
        <w:rPr>
          <w:b/>
        </w:rPr>
        <w:t xml:space="preserve">On discharge </w:t>
      </w:r>
      <w:r w:rsidRPr="00FE3A2F">
        <w:t xml:space="preserve">consider whether the patient requires further support following full advice and training on administration of their medication prior to leaving the ward setting. If they are unable to self-administer, complete a District Nurse referral online, this must contain the above information including the time and date of the last administered dose. It must be communicated as per Trust procedure </w:t>
      </w:r>
      <w:hyperlink r:id="rId20" w:history="1">
        <w:r w:rsidRPr="00FE3A2F">
          <w:rPr>
            <w:rStyle w:val="Hyperlink"/>
          </w:rPr>
          <w:t xml:space="preserve">CORP/POL/603 </w:t>
        </w:r>
      </w:hyperlink>
      <w:r w:rsidRPr="00FE3A2F">
        <w:t>Discharge of Adult Patients</w:t>
      </w:r>
      <w:sdt>
        <w:sdtPr>
          <w:id w:val="-617376279"/>
          <w:citation/>
        </w:sdtPr>
        <w:sdtEndPr/>
        <w:sdtContent>
          <w:r w:rsidRPr="00FE3A2F">
            <w:fldChar w:fldCharType="begin"/>
          </w:r>
          <w:r w:rsidR="00A82A5C">
            <w:instrText xml:space="preserve">CITATION BTH2181 \l 2057 </w:instrText>
          </w:r>
          <w:r w:rsidRPr="00FE3A2F">
            <w:fldChar w:fldCharType="separate"/>
          </w:r>
          <w:r w:rsidR="00E85596">
            <w:rPr>
              <w:noProof/>
            </w:rPr>
            <w:t xml:space="preserve"> (3)</w:t>
          </w:r>
          <w:r w:rsidRPr="00FE3A2F">
            <w:fldChar w:fldCharType="end"/>
          </w:r>
        </w:sdtContent>
      </w:sdt>
      <w:r w:rsidRPr="00FE3A2F">
        <w:t>.</w:t>
      </w:r>
      <w:r w:rsidRPr="00FE3A2F">
        <w:rPr>
          <w:b/>
        </w:rPr>
        <w:t xml:space="preserve">  </w:t>
      </w:r>
    </w:p>
    <w:p w14:paraId="226D96CF" w14:textId="77777777" w:rsidR="000820A8" w:rsidRDefault="000820A8" w:rsidP="00D16C01"/>
    <w:p w14:paraId="07ABC541" w14:textId="5C3F6997" w:rsidR="00804484" w:rsidRPr="00C40351" w:rsidRDefault="00804484" w:rsidP="00804484">
      <w:pPr>
        <w:pStyle w:val="Heading1"/>
      </w:pPr>
      <w:bookmarkStart w:id="65" w:name="_Toc184021159"/>
      <w:r>
        <w:t>References and Associated Documents</w:t>
      </w:r>
      <w:bookmarkEnd w:id="65"/>
    </w:p>
    <w:p w14:paraId="63BB0A1B" w14:textId="77777777" w:rsidR="00804484" w:rsidRDefault="00804484" w:rsidP="00804484">
      <w:pPr>
        <w:pStyle w:val="BodyText2"/>
        <w:rPr>
          <w:rFonts w:cs="Arial"/>
          <w:szCs w:val="24"/>
          <w:lang w:val="en-US"/>
        </w:rPr>
      </w:pPr>
    </w:p>
    <w:p w14:paraId="78D951F1" w14:textId="77777777" w:rsidR="00CE2299" w:rsidRDefault="00FD3DC8" w:rsidP="00CE2299">
      <w:pPr>
        <w:pStyle w:val="Bibliography"/>
        <w:rPr>
          <w:noProof/>
          <w:szCs w:val="24"/>
        </w:rPr>
      </w:pPr>
      <w:r>
        <w:fldChar w:fldCharType="begin"/>
      </w:r>
      <w:r>
        <w:instrText xml:space="preserve"> BIBLIOGRAPHY  \l 2057 </w:instrText>
      </w:r>
      <w:r>
        <w:fldChar w:fldCharType="separate"/>
      </w:r>
      <w:r w:rsidR="00CE2299">
        <w:rPr>
          <w:noProof/>
        </w:rPr>
        <w:t xml:space="preserve">1. </w:t>
      </w:r>
      <w:r w:rsidR="00CE2299">
        <w:rPr>
          <w:b/>
          <w:bCs w:val="0"/>
          <w:noProof/>
        </w:rPr>
        <w:t>+emc.</w:t>
      </w:r>
      <w:r w:rsidR="00CE2299">
        <w:rPr>
          <w:noProof/>
        </w:rPr>
        <w:t xml:space="preserve"> Inhixa 10,000 IU (100 mg) in 1.0 mL solution for injection in pre-filled syringe. </w:t>
      </w:r>
      <w:r w:rsidR="00CE2299">
        <w:rPr>
          <w:i/>
          <w:iCs/>
          <w:noProof/>
        </w:rPr>
        <w:t xml:space="preserve">Techdow Pharma England Ltd. </w:t>
      </w:r>
      <w:r w:rsidR="00CE2299">
        <w:rPr>
          <w:noProof/>
        </w:rPr>
        <w:t>[Online] 27 04 2022. [Cited: 28 07 2024.] https://www.medicines.org.uk/emc/product/782/smpc. ATC code: B01AB05.</w:t>
      </w:r>
    </w:p>
    <w:p w14:paraId="4429880E" w14:textId="77777777" w:rsidR="00CE2299" w:rsidRDefault="00CE2299" w:rsidP="00CE2299">
      <w:pPr>
        <w:pStyle w:val="Bibliography"/>
        <w:rPr>
          <w:noProof/>
        </w:rPr>
      </w:pPr>
      <w:r>
        <w:rPr>
          <w:noProof/>
        </w:rPr>
        <w:t xml:space="preserve">2. </w:t>
      </w:r>
      <w:r>
        <w:rPr>
          <w:b/>
          <w:bCs w:val="0"/>
          <w:noProof/>
        </w:rPr>
        <w:t>BTHFT - Policy.</w:t>
      </w:r>
      <w:r>
        <w:rPr>
          <w:noProof/>
        </w:rPr>
        <w:t xml:space="preserve"> Self-Administration of Medicines in Adult Patients (16 years and over). [Online] 03 03 2022. [Cited: 28 08 2024.] http://fcsp.xfyldecoast.nhs.uk/trustdocuments/Documents/CORP-POL-549.docx. CORP/POL/549.</w:t>
      </w:r>
    </w:p>
    <w:p w14:paraId="08556485" w14:textId="77777777" w:rsidR="00CE2299" w:rsidRDefault="00CE2299" w:rsidP="00CE2299">
      <w:pPr>
        <w:pStyle w:val="Bibliography"/>
        <w:rPr>
          <w:noProof/>
        </w:rPr>
      </w:pPr>
      <w:r>
        <w:rPr>
          <w:noProof/>
        </w:rPr>
        <w:t>3. —. Adult Patient Discharge / Transfer of Care Policy and Procedure. [Online] 15 06 2021. [Cited: 28 08 2024.] http://fcsp.xfyldecoast.nhs.uk/trustdocuments/Documents/CORP-POL-603.docx. CORP/POL/603.</w:t>
      </w:r>
    </w:p>
    <w:p w14:paraId="4EFDF737" w14:textId="77777777" w:rsidR="00CE2299" w:rsidRDefault="00CE2299" w:rsidP="00CE2299">
      <w:pPr>
        <w:pStyle w:val="Bibliography"/>
        <w:rPr>
          <w:noProof/>
        </w:rPr>
      </w:pPr>
      <w:r>
        <w:rPr>
          <w:noProof/>
        </w:rPr>
        <w:t xml:space="preserve">4. </w:t>
      </w:r>
      <w:r>
        <w:rPr>
          <w:b/>
          <w:bCs w:val="0"/>
          <w:noProof/>
        </w:rPr>
        <w:t>Deepa J. Arachchillage, Jecko Thachil, Julia A. M. Anderson, Peter Baker, Anthony Poles, Steve Kitchen, Mike Laffan, the BSH Committee.</w:t>
      </w:r>
      <w:r>
        <w:rPr>
          <w:noProof/>
        </w:rPr>
        <w:t xml:space="preserve"> Diagnosis and Management of Heparin Induced Thrombocytopenia: Third Edition. [Online] 28 12 2023. [Cited: 28 08 2024.] https://b-s-h.org.uk/guidelines/guidelines/diagnosis-and-management-of-heparin-induced-thrombocytopenia-third-edition. https://doi.org/10.1111/bjh.19180.</w:t>
      </w:r>
    </w:p>
    <w:p w14:paraId="0001DBF7" w14:textId="77777777" w:rsidR="00CE2299" w:rsidRDefault="00CE2299" w:rsidP="00CE2299">
      <w:pPr>
        <w:pStyle w:val="Bibliography"/>
        <w:rPr>
          <w:noProof/>
        </w:rPr>
      </w:pPr>
      <w:r>
        <w:rPr>
          <w:noProof/>
        </w:rPr>
        <w:t xml:space="preserve">5. </w:t>
      </w:r>
      <w:r>
        <w:rPr>
          <w:b/>
          <w:bCs w:val="0"/>
          <w:noProof/>
        </w:rPr>
        <w:t>BTHFT - Procedure.</w:t>
      </w:r>
      <w:r>
        <w:rPr>
          <w:noProof/>
        </w:rPr>
        <w:t xml:space="preserve"> Management of Heparin Induced Thrombocytopenia. [Online] 19 08 2021. [Cited: 28 08 2024.] http://fcsp.xfyldecoast.nhs.uk/trustdocuments/Documents/CORP-PROC-639.docx. CORP/PROC/639.</w:t>
      </w:r>
    </w:p>
    <w:p w14:paraId="6260442E" w14:textId="77777777" w:rsidR="00CE2299" w:rsidRDefault="00CE2299" w:rsidP="00CE2299">
      <w:pPr>
        <w:pStyle w:val="Bibliography"/>
        <w:rPr>
          <w:noProof/>
        </w:rPr>
      </w:pPr>
      <w:r>
        <w:rPr>
          <w:noProof/>
        </w:rPr>
        <w:t xml:space="preserve">6. </w:t>
      </w:r>
      <w:r>
        <w:rPr>
          <w:b/>
          <w:bCs w:val="0"/>
          <w:noProof/>
        </w:rPr>
        <w:t>Lancashire and South Cumbria Medicines Management Group.</w:t>
      </w:r>
      <w:r>
        <w:rPr>
          <w:noProof/>
        </w:rPr>
        <w:t xml:space="preserve"> Low Molecular Weight Heparins (LMWHs) Summary Prescribing Guide. [Online] 09 2019. [Cited: 28 08 2024.] https://www.lancsmmg.nhs.uk/media/1259/low-molecular-weigh-heparins-summary-prescribing-guide-version-14.pdf.</w:t>
      </w:r>
    </w:p>
    <w:p w14:paraId="2224946C" w14:textId="77777777" w:rsidR="00CE2299" w:rsidRDefault="00CE2299" w:rsidP="00CE2299">
      <w:pPr>
        <w:pStyle w:val="Bibliography"/>
        <w:rPr>
          <w:noProof/>
        </w:rPr>
      </w:pPr>
      <w:r>
        <w:rPr>
          <w:noProof/>
        </w:rPr>
        <w:t xml:space="preserve">7. </w:t>
      </w:r>
      <w:r>
        <w:rPr>
          <w:b/>
          <w:bCs w:val="0"/>
          <w:noProof/>
        </w:rPr>
        <w:t>BTHFT - Protocol.</w:t>
      </w:r>
      <w:r>
        <w:rPr>
          <w:noProof/>
        </w:rPr>
        <w:t xml:space="preserve"> Administration of Intravenous Heparin for the Treatment of Venous Thrombo-Embolic Disease. [Online] 15 12 2022. [Cited: 28 08 2024.] http://fcsp.xfyldecoast.nhs.uk/trustdocuments/Documents/CORP-PROT-008.docx. CORP/PROT/008.</w:t>
      </w:r>
    </w:p>
    <w:p w14:paraId="705EB04C" w14:textId="77777777" w:rsidR="00CE2299" w:rsidRDefault="00CE2299" w:rsidP="00CE2299">
      <w:pPr>
        <w:pStyle w:val="Bibliography"/>
        <w:rPr>
          <w:noProof/>
        </w:rPr>
      </w:pPr>
      <w:r>
        <w:rPr>
          <w:noProof/>
        </w:rPr>
        <w:t xml:space="preserve">8. </w:t>
      </w:r>
      <w:r>
        <w:rPr>
          <w:b/>
          <w:bCs w:val="0"/>
          <w:noProof/>
        </w:rPr>
        <w:t>NHS England.</w:t>
      </w:r>
      <w:r>
        <w:rPr>
          <w:noProof/>
        </w:rPr>
        <w:t xml:space="preserve"> Patient Safety Alert - Stage One: Warning - Harm from using Low Molecular Weight Heparins when contraindicated. [Online] 19 01 2015. [Cited: 28 08 2024.] https://www.england.nhs.uk/wp-content/uploads/2015/01/psa-lmwhs.pdf. Alert refererence number: NHS/PSA/W/2015/001.</w:t>
      </w:r>
    </w:p>
    <w:p w14:paraId="7B9E553B" w14:textId="77777777" w:rsidR="00CE2299" w:rsidRDefault="00CE2299" w:rsidP="00CE2299">
      <w:pPr>
        <w:pStyle w:val="Bibliography"/>
        <w:rPr>
          <w:noProof/>
        </w:rPr>
      </w:pPr>
      <w:r>
        <w:rPr>
          <w:noProof/>
        </w:rPr>
        <w:t xml:space="preserve">9. </w:t>
      </w:r>
      <w:r>
        <w:rPr>
          <w:b/>
          <w:bCs w:val="0"/>
          <w:noProof/>
        </w:rPr>
        <w:t>NHS Central Alerting System.</w:t>
      </w:r>
      <w:r>
        <w:rPr>
          <w:noProof/>
        </w:rPr>
        <w:t xml:space="preserve"> Rapid Response Report - Reducing treatment dose errors with low molecular weight heparins. [Online] 30 07 2010. [Cited: 28 08 2024.] https://www.cas.mhra.gov.uk/ViewandAcknowledgment/ViewAlert.aspx?AlertID=101444. NPSA/2010/RRR014.</w:t>
      </w:r>
    </w:p>
    <w:p w14:paraId="0438C1EE" w14:textId="77777777" w:rsidR="00CE2299" w:rsidRDefault="00CE2299" w:rsidP="00CE2299">
      <w:pPr>
        <w:pStyle w:val="Bibliography"/>
        <w:rPr>
          <w:noProof/>
        </w:rPr>
      </w:pPr>
      <w:r>
        <w:rPr>
          <w:noProof/>
        </w:rPr>
        <w:t xml:space="preserve">10. </w:t>
      </w:r>
      <w:r>
        <w:rPr>
          <w:b/>
          <w:bCs w:val="0"/>
          <w:noProof/>
        </w:rPr>
        <w:t>Mike Makris, Joost J. Van Veen, Campbell R. Tait, Andrew D. Mumford, Mike Laffan, The British Committee for Standards in Haematology.</w:t>
      </w:r>
      <w:r>
        <w:rPr>
          <w:noProof/>
        </w:rPr>
        <w:t xml:space="preserve"> Management of Bleeding in Patients on Antithrombotic Agents. [Online] Updated with Addendum 06/02/2019. [Cited: 28 08 2024.] https://b-s-h.org.uk/guidelines/guidelines/management-of-bleeding-in-patients-on-antithrombotic-agents. https://doi.org/10.1111/bjh.12107.</w:t>
      </w:r>
    </w:p>
    <w:p w14:paraId="107486EE" w14:textId="77777777" w:rsidR="00CE2299" w:rsidRDefault="00CE2299" w:rsidP="00CE2299">
      <w:pPr>
        <w:pStyle w:val="Bibliography"/>
        <w:rPr>
          <w:noProof/>
        </w:rPr>
      </w:pPr>
      <w:r>
        <w:rPr>
          <w:noProof/>
        </w:rPr>
        <w:lastRenderedPageBreak/>
        <w:t xml:space="preserve">11. </w:t>
      </w:r>
      <w:r>
        <w:rPr>
          <w:b/>
          <w:bCs w:val="0"/>
          <w:noProof/>
        </w:rPr>
        <w:t>NICE.</w:t>
      </w:r>
      <w:r>
        <w:rPr>
          <w:noProof/>
        </w:rPr>
        <w:t xml:space="preserve"> Venous thromboembolic diseases: diagnosis, management and thrombophilia testing. [Online] Last updated: 02 August 2023. [Cited: 28 08 2024.] https://www.nice.org.uk/guidance/ng158/resources/venous-thromboembolic-diseases-diagnosis-management-and-thrombophilia-testing-pdf-66141847001797. NICE guideline [NG158].</w:t>
      </w:r>
    </w:p>
    <w:p w14:paraId="6169062A" w14:textId="77777777" w:rsidR="00CE2299" w:rsidRDefault="00CE2299" w:rsidP="00CE2299">
      <w:pPr>
        <w:pStyle w:val="Bibliography"/>
        <w:rPr>
          <w:noProof/>
        </w:rPr>
      </w:pPr>
      <w:r>
        <w:rPr>
          <w:noProof/>
        </w:rPr>
        <w:t xml:space="preserve">12. </w:t>
      </w:r>
      <w:r>
        <w:rPr>
          <w:b/>
          <w:bCs w:val="0"/>
          <w:noProof/>
        </w:rPr>
        <w:t>BTHFT - Guideline.</w:t>
      </w:r>
      <w:r>
        <w:rPr>
          <w:noProof/>
        </w:rPr>
        <w:t xml:space="preserve"> Warfarin. [Online] 20 06 2024. [Cited: 28 08 2024.] http://fcsp.xfyldecoast.nhs.uk/trustdocuments/Documents/CORP-GUID-147.docx. CORP/GUID/147.</w:t>
      </w:r>
    </w:p>
    <w:p w14:paraId="151E71D2" w14:textId="77777777" w:rsidR="00CE2299" w:rsidRDefault="00CE2299" w:rsidP="00CE2299">
      <w:pPr>
        <w:pStyle w:val="Bibliography"/>
        <w:rPr>
          <w:noProof/>
        </w:rPr>
      </w:pPr>
      <w:r>
        <w:rPr>
          <w:noProof/>
        </w:rPr>
        <w:t>13. —. Venous Thromboembolism – Treatment / Management in Pregnancy, Labour and the Puerperium. [Online] 13 03 2022. [Cited: 28 08 2024.] http://fcsp.xfyldecoast.nhs.uk/trustdocuments/Documents/OBS-GYNAE-GUID-102.docx. OBS/GYNAE/GUID/102.</w:t>
      </w:r>
    </w:p>
    <w:p w14:paraId="4C0142BB" w14:textId="77777777" w:rsidR="00CE2299" w:rsidRDefault="00CE2299" w:rsidP="00CE2299">
      <w:pPr>
        <w:pStyle w:val="Bibliography"/>
        <w:rPr>
          <w:noProof/>
        </w:rPr>
      </w:pPr>
      <w:r>
        <w:rPr>
          <w:noProof/>
        </w:rPr>
        <w:t>14. —. Venous Thromboembolism - Antenatal, Intrapartum and Postnatal Risk Assessments and Prophylaxis (including COVID-19). [Online] 24 08 2022. [Cited: 28 08 2024.] http://fcsp.xfyldecoast.nhs.uk/trustdocuments/Documents/OBS-GYNAE-GUID-103.docx. OBS/GYNAE/GUID/103.</w:t>
      </w:r>
    </w:p>
    <w:p w14:paraId="45FF2940" w14:textId="6B46DC6C" w:rsidR="00C2178C" w:rsidRDefault="00FD3DC8" w:rsidP="00CE2299">
      <w:pPr>
        <w:rPr>
          <w:b/>
        </w:rPr>
      </w:pPr>
      <w:r>
        <w:fldChar w:fldCharType="end"/>
      </w:r>
      <w:r w:rsidR="00C2178C">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2178C" w:rsidRPr="00AB6869" w14:paraId="33630FFF" w14:textId="77777777" w:rsidTr="00FB0635">
        <w:trPr>
          <w:tblHeader/>
          <w:jc w:val="center"/>
        </w:trPr>
        <w:tc>
          <w:tcPr>
            <w:tcW w:w="5000" w:type="pct"/>
          </w:tcPr>
          <w:p w14:paraId="68DE4DFF" w14:textId="77777777" w:rsidR="00C2178C" w:rsidRPr="00AB6869" w:rsidRDefault="00C2178C" w:rsidP="00FB0635">
            <w:pPr>
              <w:pStyle w:val="Appendix"/>
            </w:pPr>
            <w:bookmarkStart w:id="66" w:name="_Toc170131883"/>
            <w:bookmarkStart w:id="67" w:name="_Toc184021160"/>
            <w:r>
              <w:lastRenderedPageBreak/>
              <w:t>Appendix</w:t>
            </w:r>
            <w:r w:rsidRPr="00AB6869">
              <w:t xml:space="preserve"> 1: </w:t>
            </w:r>
            <w:bookmarkStart w:id="68" w:name="App1Weight"/>
            <w:r>
              <w:t>Patient Weight</w:t>
            </w:r>
            <w:bookmarkEnd w:id="66"/>
            <w:bookmarkEnd w:id="67"/>
            <w:bookmarkEnd w:id="68"/>
          </w:p>
        </w:tc>
      </w:tr>
      <w:tr w:rsidR="00C2178C" w:rsidRPr="00DB608D" w14:paraId="143855A0" w14:textId="77777777" w:rsidTr="00FB0635">
        <w:trPr>
          <w:jc w:val="center"/>
        </w:trPr>
        <w:tc>
          <w:tcPr>
            <w:tcW w:w="5000" w:type="pct"/>
          </w:tcPr>
          <w:p w14:paraId="7A6973BD" w14:textId="77777777" w:rsidR="00C2178C" w:rsidRPr="00D34381" w:rsidRDefault="00C2178C" w:rsidP="00FB0635">
            <w:pPr>
              <w:spacing w:before="120" w:after="120"/>
              <w:rPr>
                <w:b/>
                <w:bCs w:val="0"/>
                <w:sz w:val="22"/>
                <w:szCs w:val="18"/>
              </w:rPr>
            </w:pPr>
            <w:r w:rsidRPr="00D34381">
              <w:rPr>
                <w:b/>
                <w:bCs w:val="0"/>
                <w:sz w:val="22"/>
                <w:szCs w:val="18"/>
              </w:rPr>
              <w:t>Standard of Weighing Equipment</w:t>
            </w:r>
          </w:p>
          <w:p w14:paraId="3A8A0C27" w14:textId="77777777" w:rsidR="00C2178C" w:rsidRPr="00D34381" w:rsidRDefault="00C2178C" w:rsidP="00FB0635">
            <w:pPr>
              <w:spacing w:before="120" w:after="120"/>
              <w:rPr>
                <w:sz w:val="22"/>
                <w:szCs w:val="18"/>
              </w:rPr>
            </w:pPr>
            <w:r w:rsidRPr="00D34381">
              <w:rPr>
                <w:sz w:val="22"/>
                <w:szCs w:val="18"/>
              </w:rPr>
              <w:t>For accurate dosing patients must be weighed on a Trust approved and calibrated weighing scale.</w:t>
            </w:r>
          </w:p>
          <w:p w14:paraId="5D00FC9F" w14:textId="77777777" w:rsidR="00C2178C" w:rsidRPr="00D34381" w:rsidRDefault="00C2178C" w:rsidP="00FB0635">
            <w:pPr>
              <w:spacing w:before="120" w:after="120"/>
              <w:rPr>
                <w:sz w:val="22"/>
                <w:szCs w:val="18"/>
              </w:rPr>
            </w:pPr>
            <w:r w:rsidRPr="00D34381">
              <w:rPr>
                <w:sz w:val="22"/>
                <w:szCs w:val="18"/>
              </w:rPr>
              <w:t>In March 2010 the Department of Health issued an updated Estates Alert, Medical patient weighing scales.  This Alert requires the Trust to ensure healthcare professionals have access to accurate scales used for weighing patients in relation to medication, treatment or diagnosis.</w:t>
            </w:r>
          </w:p>
          <w:p w14:paraId="09E85268" w14:textId="77777777" w:rsidR="00C2178C" w:rsidRPr="00D34381" w:rsidRDefault="00C2178C" w:rsidP="00FB0635">
            <w:pPr>
              <w:spacing w:before="120" w:after="120"/>
              <w:rPr>
                <w:sz w:val="22"/>
                <w:szCs w:val="18"/>
              </w:rPr>
            </w:pPr>
            <w:r w:rsidRPr="00D34381">
              <w:rPr>
                <w:sz w:val="22"/>
                <w:szCs w:val="18"/>
              </w:rPr>
              <w:t xml:space="preserve">Inaccurate weighing of patients has resulted in patient harm.  </w:t>
            </w:r>
          </w:p>
          <w:p w14:paraId="30AE0FD0" w14:textId="256DA2E8" w:rsidR="00C2178C" w:rsidRPr="00D34381" w:rsidRDefault="00C2178C" w:rsidP="00FB0635">
            <w:pPr>
              <w:spacing w:before="120" w:after="120"/>
              <w:rPr>
                <w:sz w:val="22"/>
                <w:szCs w:val="18"/>
              </w:rPr>
            </w:pPr>
            <w:r w:rsidRPr="00D34381">
              <w:rPr>
                <w:sz w:val="22"/>
                <w:szCs w:val="18"/>
              </w:rPr>
              <w:t xml:space="preserve">The weighing equipment should be of the Class III </w:t>
            </w:r>
            <w:r w:rsidR="00CE2299" w:rsidRPr="00D34381">
              <w:rPr>
                <w:sz w:val="22"/>
                <w:szCs w:val="18"/>
              </w:rPr>
              <w:t>type and</w:t>
            </w:r>
            <w:r w:rsidRPr="00D34381">
              <w:rPr>
                <w:sz w:val="22"/>
                <w:szCs w:val="18"/>
              </w:rPr>
              <w:t xml:space="preserve"> should be regularly maintained and correctly calibrated. </w:t>
            </w:r>
          </w:p>
          <w:p w14:paraId="20A1629A" w14:textId="77777777" w:rsidR="00C2178C" w:rsidRPr="00D34381" w:rsidRDefault="00C2178C" w:rsidP="00FB0635">
            <w:pPr>
              <w:spacing w:before="120" w:after="120"/>
              <w:rPr>
                <w:sz w:val="22"/>
                <w:szCs w:val="18"/>
              </w:rPr>
            </w:pPr>
            <w:r w:rsidRPr="00D34381">
              <w:rPr>
                <w:sz w:val="22"/>
                <w:szCs w:val="18"/>
              </w:rPr>
              <w:t>For Medical purposes all weighing scales must have a metric display which is not switchable between units.</w:t>
            </w:r>
          </w:p>
          <w:p w14:paraId="6A505EB9" w14:textId="77777777" w:rsidR="00C2178C" w:rsidRPr="00D34381" w:rsidRDefault="00C2178C" w:rsidP="00FB0635">
            <w:pPr>
              <w:spacing w:before="120" w:after="120"/>
              <w:rPr>
                <w:sz w:val="22"/>
                <w:szCs w:val="18"/>
              </w:rPr>
            </w:pPr>
            <w:r w:rsidRPr="00D34381">
              <w:rPr>
                <w:sz w:val="22"/>
                <w:szCs w:val="18"/>
              </w:rPr>
              <w:t>Medical weighing equipment used in healthcare premises must be accurate, appropriate and used correctly to prevent potential errors in diagnosis, treatment or medication of patients.</w:t>
            </w:r>
          </w:p>
          <w:p w14:paraId="21072840" w14:textId="77777777" w:rsidR="00D34381" w:rsidRDefault="00D34381" w:rsidP="00FB0635">
            <w:pPr>
              <w:spacing w:before="120" w:after="120"/>
              <w:rPr>
                <w:b/>
                <w:bCs w:val="0"/>
                <w:sz w:val="22"/>
                <w:szCs w:val="18"/>
              </w:rPr>
            </w:pPr>
          </w:p>
          <w:p w14:paraId="284EC290" w14:textId="359B4732" w:rsidR="00C2178C" w:rsidRPr="00D34381" w:rsidRDefault="00C2178C" w:rsidP="00FB0635">
            <w:pPr>
              <w:spacing w:before="120" w:after="120"/>
              <w:rPr>
                <w:b/>
                <w:bCs w:val="0"/>
                <w:sz w:val="22"/>
                <w:szCs w:val="18"/>
              </w:rPr>
            </w:pPr>
            <w:r w:rsidRPr="00D34381">
              <w:rPr>
                <w:b/>
                <w:bCs w:val="0"/>
                <w:sz w:val="22"/>
                <w:szCs w:val="18"/>
              </w:rPr>
              <w:t>Staff Training</w:t>
            </w:r>
          </w:p>
          <w:p w14:paraId="708AE29B" w14:textId="77777777" w:rsidR="00C2178C" w:rsidRPr="00D34381" w:rsidRDefault="00C2178C" w:rsidP="00FB0635">
            <w:pPr>
              <w:spacing w:before="120" w:after="120"/>
              <w:rPr>
                <w:sz w:val="22"/>
                <w:szCs w:val="18"/>
              </w:rPr>
            </w:pPr>
            <w:r w:rsidRPr="00D34381">
              <w:rPr>
                <w:sz w:val="22"/>
                <w:szCs w:val="18"/>
              </w:rPr>
              <w:t>It is very important that healthcare staff do not under-estimate the significance of an accurate weight as an essential aspect of safe patient care.</w:t>
            </w:r>
          </w:p>
          <w:p w14:paraId="1B243B6A" w14:textId="77777777" w:rsidR="00C2178C" w:rsidRPr="00D34381" w:rsidRDefault="00C2178C" w:rsidP="00FB0635">
            <w:pPr>
              <w:spacing w:before="120" w:after="120"/>
              <w:rPr>
                <w:sz w:val="22"/>
                <w:szCs w:val="18"/>
              </w:rPr>
            </w:pPr>
            <w:r w:rsidRPr="00D34381">
              <w:rPr>
                <w:sz w:val="22"/>
                <w:szCs w:val="18"/>
              </w:rPr>
              <w:t xml:space="preserve">All healthcare staff involved in weighing patients must be trained on the weighing equipment and the correct weighing procedure. </w:t>
            </w:r>
          </w:p>
          <w:p w14:paraId="58080296" w14:textId="77777777" w:rsidR="00C2178C" w:rsidRPr="00D34381" w:rsidRDefault="00C2178C" w:rsidP="00FB0635">
            <w:pPr>
              <w:spacing w:before="120" w:after="120"/>
              <w:rPr>
                <w:sz w:val="22"/>
                <w:szCs w:val="18"/>
              </w:rPr>
            </w:pPr>
            <w:r w:rsidRPr="00D34381">
              <w:rPr>
                <w:sz w:val="22"/>
                <w:szCs w:val="18"/>
              </w:rPr>
              <w:t>Healthcare professionals must not visually estimate a patient’s weight. It has been demonstrated to be the least accurate method.</w:t>
            </w:r>
          </w:p>
          <w:p w14:paraId="46580D5B" w14:textId="77777777" w:rsidR="00C2178C" w:rsidRPr="00D34381" w:rsidRDefault="00C2178C" w:rsidP="00FB0635">
            <w:pPr>
              <w:pStyle w:val="BulletLevel1"/>
              <w:rPr>
                <w:sz w:val="22"/>
                <w:szCs w:val="18"/>
              </w:rPr>
            </w:pPr>
            <w:r w:rsidRPr="00D34381">
              <w:rPr>
                <w:sz w:val="22"/>
                <w:szCs w:val="18"/>
              </w:rPr>
              <w:t>The scale used must have been tested and approved by Atlas Medical devices</w:t>
            </w:r>
          </w:p>
          <w:p w14:paraId="3B05463C" w14:textId="77777777" w:rsidR="00C2178C" w:rsidRPr="00D34381" w:rsidRDefault="00C2178C" w:rsidP="00FB0635">
            <w:pPr>
              <w:pStyle w:val="BulletLevel1"/>
              <w:rPr>
                <w:sz w:val="22"/>
                <w:szCs w:val="18"/>
              </w:rPr>
            </w:pPr>
            <w:r w:rsidRPr="00D34381">
              <w:rPr>
                <w:sz w:val="22"/>
                <w:szCs w:val="18"/>
              </w:rPr>
              <w:t>The scale must be set to zero before use.</w:t>
            </w:r>
          </w:p>
          <w:p w14:paraId="54642E08" w14:textId="77777777" w:rsidR="00C2178C" w:rsidRPr="00D34381" w:rsidRDefault="00C2178C" w:rsidP="00FB0635">
            <w:pPr>
              <w:pStyle w:val="BulletLevel1"/>
              <w:rPr>
                <w:sz w:val="22"/>
                <w:szCs w:val="18"/>
              </w:rPr>
            </w:pPr>
            <w:r w:rsidRPr="00D34381">
              <w:rPr>
                <w:sz w:val="22"/>
                <w:szCs w:val="18"/>
              </w:rPr>
              <w:t>The scale must display metric units only and not be switchable between units</w:t>
            </w:r>
          </w:p>
          <w:p w14:paraId="2246D8A0" w14:textId="77777777" w:rsidR="00C2178C" w:rsidRPr="00D34381" w:rsidRDefault="00C2178C" w:rsidP="00FB0635">
            <w:pPr>
              <w:pStyle w:val="BulletLevel1"/>
              <w:rPr>
                <w:sz w:val="22"/>
                <w:szCs w:val="18"/>
              </w:rPr>
            </w:pPr>
            <w:r w:rsidRPr="00D34381">
              <w:rPr>
                <w:sz w:val="22"/>
                <w:szCs w:val="18"/>
              </w:rPr>
              <w:t>The patient’s weight must be accurately recorded in kilograms (kg) on the front of the inpatient medication chart, on out-patient prescriptions and on the e-discharge prescription. and the clinical record</w:t>
            </w:r>
          </w:p>
          <w:p w14:paraId="12F1454C" w14:textId="77777777" w:rsidR="00C2178C" w:rsidRPr="00D34381" w:rsidRDefault="00C2178C" w:rsidP="00FB0635">
            <w:pPr>
              <w:pStyle w:val="BulletLevel1"/>
              <w:rPr>
                <w:sz w:val="22"/>
                <w:szCs w:val="18"/>
              </w:rPr>
            </w:pPr>
            <w:r w:rsidRPr="00D34381">
              <w:rPr>
                <w:sz w:val="22"/>
                <w:szCs w:val="18"/>
              </w:rPr>
              <w:t>Patients should be weighed at the start of therapy and, where applicable, re-weighed during treatment.</w:t>
            </w:r>
          </w:p>
          <w:p w14:paraId="4CFC3FE9" w14:textId="77777777" w:rsidR="00C2178C" w:rsidRPr="00D34381" w:rsidRDefault="00C2178C" w:rsidP="00FB0635">
            <w:pPr>
              <w:pStyle w:val="BulletLevel1"/>
              <w:rPr>
                <w:sz w:val="22"/>
                <w:szCs w:val="18"/>
              </w:rPr>
            </w:pPr>
            <w:r w:rsidRPr="00D34381">
              <w:rPr>
                <w:sz w:val="22"/>
                <w:szCs w:val="18"/>
              </w:rPr>
              <w:t>When patients are unable to stand or are confined to their beds use equipment such as hoists with weighing scales (ask senior Nursing staff for location of equipment)</w:t>
            </w:r>
          </w:p>
          <w:p w14:paraId="1304AE31" w14:textId="77777777" w:rsidR="00D34381" w:rsidRDefault="00D34381" w:rsidP="00FB0635">
            <w:pPr>
              <w:spacing w:before="120" w:after="120"/>
              <w:rPr>
                <w:sz w:val="22"/>
                <w:szCs w:val="18"/>
              </w:rPr>
            </w:pPr>
          </w:p>
          <w:p w14:paraId="042CBC8B" w14:textId="1284FDAE" w:rsidR="00C2178C" w:rsidRPr="00D34381" w:rsidRDefault="00C2178C" w:rsidP="00FB0635">
            <w:pPr>
              <w:spacing w:before="120" w:after="120"/>
              <w:rPr>
                <w:sz w:val="22"/>
                <w:szCs w:val="18"/>
              </w:rPr>
            </w:pPr>
            <w:r w:rsidRPr="00D34381">
              <w:rPr>
                <w:sz w:val="22"/>
                <w:szCs w:val="18"/>
              </w:rPr>
              <w:t>In exceptional circumstances, when a patient cannot be weighed:-</w:t>
            </w:r>
          </w:p>
          <w:p w14:paraId="4349CD61" w14:textId="77777777" w:rsidR="00C2178C" w:rsidRPr="00D34381" w:rsidRDefault="00C2178C" w:rsidP="00FB0635">
            <w:pPr>
              <w:pStyle w:val="BulletLevel1"/>
              <w:rPr>
                <w:sz w:val="22"/>
                <w:szCs w:val="18"/>
              </w:rPr>
            </w:pPr>
            <w:r w:rsidRPr="00D34381">
              <w:rPr>
                <w:sz w:val="22"/>
                <w:szCs w:val="18"/>
              </w:rPr>
              <w:t>obtain body weight information from patients (or carers).</w:t>
            </w:r>
          </w:p>
          <w:p w14:paraId="0158D484" w14:textId="77777777" w:rsidR="00C2178C" w:rsidRPr="00D34381" w:rsidRDefault="00C2178C" w:rsidP="00FB0635">
            <w:pPr>
              <w:pStyle w:val="BulletLevel1"/>
              <w:rPr>
                <w:sz w:val="22"/>
                <w:szCs w:val="18"/>
              </w:rPr>
            </w:pPr>
            <w:r w:rsidRPr="00D34381">
              <w:rPr>
                <w:sz w:val="22"/>
                <w:szCs w:val="18"/>
              </w:rPr>
              <w:t>use weight estimation tools, e.g. formulae utilising knee height and mid-arm circumference.</w:t>
            </w:r>
          </w:p>
          <w:p w14:paraId="47DD6A00" w14:textId="77777777" w:rsidR="00C2178C" w:rsidRPr="00D34381" w:rsidRDefault="00C2178C" w:rsidP="00FB0635">
            <w:pPr>
              <w:rPr>
                <w:sz w:val="22"/>
                <w:szCs w:val="18"/>
              </w:rPr>
            </w:pPr>
            <w:r w:rsidRPr="00D34381">
              <w:rPr>
                <w:sz w:val="22"/>
                <w:szCs w:val="18"/>
              </w:rPr>
              <w:t>Obese Patients defined as BMI &gt; 30kg/m2 Underweight patients  defined as BMI &lt; 18.5kg/m2</w:t>
            </w:r>
          </w:p>
        </w:tc>
      </w:tr>
    </w:tbl>
    <w:p w14:paraId="0292E501" w14:textId="77777777" w:rsidR="00D34381" w:rsidRDefault="00D34381">
      <w:bookmarkStart w:id="69" w:name="_Toc170131884"/>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2178C" w:rsidRPr="00DB608D" w14:paraId="5F93473D" w14:textId="77777777" w:rsidTr="00FB0635">
        <w:trPr>
          <w:tblHeader/>
          <w:jc w:val="center"/>
        </w:trPr>
        <w:tc>
          <w:tcPr>
            <w:tcW w:w="5000" w:type="pct"/>
          </w:tcPr>
          <w:p w14:paraId="4B2EDAF8" w14:textId="6D8AD825" w:rsidR="00C2178C" w:rsidRPr="00C40351" w:rsidRDefault="00C2178C" w:rsidP="00FB0635">
            <w:pPr>
              <w:pStyle w:val="Appendix"/>
            </w:pPr>
            <w:bookmarkStart w:id="70" w:name="_Toc184021161"/>
            <w:r>
              <w:lastRenderedPageBreak/>
              <w:t>Appendix 2</w:t>
            </w:r>
            <w:r w:rsidRPr="00C40351">
              <w:t xml:space="preserve">: </w:t>
            </w:r>
            <w:r>
              <w:t>Renal Function</w:t>
            </w:r>
            <w:bookmarkEnd w:id="69"/>
            <w:bookmarkEnd w:id="70"/>
          </w:p>
        </w:tc>
      </w:tr>
      <w:tr w:rsidR="00C2178C" w:rsidRPr="00DB608D" w14:paraId="17777F22" w14:textId="77777777" w:rsidTr="00FB0635">
        <w:trPr>
          <w:jc w:val="center"/>
        </w:trPr>
        <w:tc>
          <w:tcPr>
            <w:tcW w:w="5000" w:type="pct"/>
          </w:tcPr>
          <w:p w14:paraId="3020E5A0" w14:textId="77777777" w:rsidR="00C2178C" w:rsidRPr="00CF2268" w:rsidRDefault="00C2178C" w:rsidP="00FB0635">
            <w:pPr>
              <w:spacing w:before="120" w:after="120"/>
              <w:ind w:left="560" w:hanging="560"/>
              <w:rPr>
                <w:rFonts w:cs="Arial"/>
                <w:b/>
                <w:szCs w:val="24"/>
              </w:rPr>
            </w:pPr>
            <w:r w:rsidRPr="00CF2268">
              <w:rPr>
                <w:rFonts w:cs="Arial"/>
                <w:b/>
                <w:szCs w:val="24"/>
              </w:rPr>
              <w:t>Collect patient data</w:t>
            </w:r>
          </w:p>
          <w:p w14:paraId="7915E544" w14:textId="77777777" w:rsidR="00C2178C" w:rsidRPr="00CF2268" w:rsidRDefault="00C2178C" w:rsidP="00FB0635">
            <w:pPr>
              <w:spacing w:before="120" w:after="120"/>
              <w:ind w:left="560"/>
              <w:rPr>
                <w:rFonts w:cs="Arial"/>
                <w:szCs w:val="24"/>
              </w:rPr>
            </w:pPr>
            <w:r w:rsidRPr="00CF2268">
              <w:rPr>
                <w:rFonts w:cs="Arial"/>
                <w:szCs w:val="24"/>
              </w:rPr>
              <w:t xml:space="preserve">Height          </w:t>
            </w:r>
          </w:p>
          <w:p w14:paraId="5809601B" w14:textId="77777777" w:rsidR="00C2178C" w:rsidRPr="00CF2268" w:rsidRDefault="00C2178C" w:rsidP="00FB0635">
            <w:pPr>
              <w:spacing w:before="120" w:after="120"/>
              <w:ind w:left="560"/>
              <w:rPr>
                <w:rFonts w:cs="Arial"/>
                <w:szCs w:val="24"/>
              </w:rPr>
            </w:pPr>
            <w:r w:rsidRPr="00CF2268">
              <w:rPr>
                <w:rFonts w:cs="Arial"/>
                <w:szCs w:val="24"/>
              </w:rPr>
              <w:t xml:space="preserve">Age </w:t>
            </w:r>
          </w:p>
          <w:p w14:paraId="7AB8D621" w14:textId="77777777" w:rsidR="00C2178C" w:rsidRPr="00CF2268" w:rsidRDefault="00C2178C" w:rsidP="00FB0635">
            <w:pPr>
              <w:spacing w:before="120" w:after="120"/>
              <w:ind w:left="560"/>
              <w:rPr>
                <w:rFonts w:cs="Arial"/>
                <w:szCs w:val="24"/>
              </w:rPr>
            </w:pPr>
            <w:r w:rsidRPr="00CF2268">
              <w:rPr>
                <w:rFonts w:cs="Arial"/>
                <w:szCs w:val="24"/>
              </w:rPr>
              <w:t>Serum Creatinine ……………. micromol/L</w:t>
            </w:r>
          </w:p>
          <w:p w14:paraId="1FFBA687" w14:textId="77777777" w:rsidR="00C2178C" w:rsidRPr="00CF2268" w:rsidRDefault="00C2178C" w:rsidP="00FB0635">
            <w:pPr>
              <w:spacing w:before="120" w:after="120"/>
              <w:ind w:left="560"/>
              <w:rPr>
                <w:rFonts w:cs="Arial"/>
                <w:szCs w:val="24"/>
              </w:rPr>
            </w:pPr>
            <w:r w:rsidRPr="00CF2268">
              <w:rPr>
                <w:rFonts w:cs="Arial"/>
                <w:szCs w:val="24"/>
              </w:rPr>
              <w:t xml:space="preserve">Actual Body Weight = weight on scales………………..kg                     </w:t>
            </w:r>
          </w:p>
          <w:p w14:paraId="14304A4F" w14:textId="77777777" w:rsidR="00C2178C" w:rsidRPr="00CF2268" w:rsidRDefault="00C2178C" w:rsidP="00FB0635">
            <w:pPr>
              <w:autoSpaceDE w:val="0"/>
              <w:autoSpaceDN w:val="0"/>
              <w:adjustRightInd w:val="0"/>
              <w:spacing w:before="120" w:after="120"/>
              <w:rPr>
                <w:rFonts w:cs="Arial"/>
                <w:bCs w:val="0"/>
                <w:color w:val="000000"/>
                <w:szCs w:val="24"/>
                <w:u w:val="single"/>
                <w:lang w:eastAsia="en-GB"/>
              </w:rPr>
            </w:pPr>
          </w:p>
          <w:p w14:paraId="1B9F7432" w14:textId="77777777" w:rsidR="00C2178C" w:rsidRPr="00CF2268" w:rsidRDefault="00C2178C" w:rsidP="00FB0635">
            <w:pPr>
              <w:autoSpaceDE w:val="0"/>
              <w:autoSpaceDN w:val="0"/>
              <w:adjustRightInd w:val="0"/>
              <w:spacing w:before="120" w:after="120"/>
              <w:ind w:left="560" w:hanging="560"/>
              <w:rPr>
                <w:rFonts w:cs="Arial"/>
                <w:bCs w:val="0"/>
                <w:color w:val="000000"/>
                <w:szCs w:val="24"/>
                <w:lang w:eastAsia="en-GB"/>
              </w:rPr>
            </w:pPr>
            <w:r w:rsidRPr="00CF2268">
              <w:rPr>
                <w:rFonts w:cs="Arial"/>
                <w:b/>
                <w:bCs w:val="0"/>
                <w:color w:val="000000"/>
                <w:szCs w:val="24"/>
                <w:lang w:eastAsia="en-GB"/>
              </w:rPr>
              <w:t>2.</w:t>
            </w:r>
            <w:r w:rsidRPr="00CF2268">
              <w:rPr>
                <w:rFonts w:cs="Arial"/>
                <w:b/>
                <w:bCs w:val="0"/>
                <w:color w:val="000000"/>
                <w:szCs w:val="24"/>
                <w:lang w:eastAsia="en-GB"/>
              </w:rPr>
              <w:tab/>
              <w:t>Calculate the Ideal Body Weight (IBW) of the patient</w:t>
            </w:r>
          </w:p>
          <w:p w14:paraId="4F395E2E" w14:textId="77777777" w:rsidR="00C2178C" w:rsidRPr="00CF2268" w:rsidRDefault="00C2178C" w:rsidP="00FB0635">
            <w:pPr>
              <w:autoSpaceDE w:val="0"/>
              <w:autoSpaceDN w:val="0"/>
              <w:adjustRightInd w:val="0"/>
              <w:spacing w:before="120" w:after="120"/>
              <w:ind w:left="560"/>
              <w:rPr>
                <w:rFonts w:cs="Arial"/>
                <w:b/>
                <w:color w:val="000000"/>
                <w:szCs w:val="24"/>
                <w:lang w:eastAsia="en-GB"/>
              </w:rPr>
            </w:pPr>
            <w:r w:rsidRPr="00CF2268">
              <w:rPr>
                <w:rFonts w:cs="Arial"/>
                <w:b/>
                <w:color w:val="000000"/>
                <w:szCs w:val="24"/>
                <w:lang w:eastAsia="en-GB"/>
              </w:rPr>
              <w:t xml:space="preserve">IBW Men (kg)        =  [ (height </w:t>
            </w:r>
            <w:r w:rsidRPr="00CF2268">
              <w:rPr>
                <w:rFonts w:cs="Arial"/>
                <w:color w:val="000000"/>
                <w:szCs w:val="24"/>
                <w:lang w:eastAsia="en-GB"/>
              </w:rPr>
              <w:t>(cm)</w:t>
            </w:r>
            <w:r w:rsidRPr="00CF2268">
              <w:rPr>
                <w:rFonts w:cs="Arial"/>
                <w:b/>
                <w:color w:val="000000"/>
                <w:szCs w:val="24"/>
                <w:lang w:eastAsia="en-GB"/>
              </w:rPr>
              <w:t xml:space="preserve"> – 154) x 0.9 ]  + 50</w:t>
            </w:r>
          </w:p>
          <w:p w14:paraId="66DEF781" w14:textId="77777777" w:rsidR="00C2178C" w:rsidRPr="00CF2268" w:rsidRDefault="00C2178C" w:rsidP="00FB0635">
            <w:pPr>
              <w:autoSpaceDE w:val="0"/>
              <w:autoSpaceDN w:val="0"/>
              <w:adjustRightInd w:val="0"/>
              <w:spacing w:before="120" w:after="120"/>
              <w:ind w:left="560"/>
              <w:rPr>
                <w:rFonts w:cs="Arial"/>
                <w:b/>
                <w:color w:val="000000"/>
                <w:szCs w:val="24"/>
                <w:lang w:eastAsia="en-GB"/>
              </w:rPr>
            </w:pPr>
          </w:p>
          <w:p w14:paraId="12CA062E" w14:textId="77777777" w:rsidR="00C2178C" w:rsidRPr="00CF2268" w:rsidRDefault="00C2178C" w:rsidP="00FB0635">
            <w:pPr>
              <w:autoSpaceDE w:val="0"/>
              <w:autoSpaceDN w:val="0"/>
              <w:adjustRightInd w:val="0"/>
              <w:spacing w:before="120" w:after="120"/>
              <w:ind w:left="560"/>
              <w:rPr>
                <w:rFonts w:cs="Arial"/>
                <w:b/>
                <w:color w:val="000000"/>
                <w:szCs w:val="24"/>
                <w:lang w:eastAsia="en-GB"/>
              </w:rPr>
            </w:pPr>
            <w:r w:rsidRPr="00CF2268">
              <w:rPr>
                <w:rFonts w:cs="Arial"/>
                <w:b/>
                <w:color w:val="000000"/>
                <w:szCs w:val="24"/>
                <w:lang w:eastAsia="en-GB"/>
              </w:rPr>
              <w:t xml:space="preserve">IBW Women (kg)   = [ (height </w:t>
            </w:r>
            <w:r w:rsidRPr="00CF2268">
              <w:rPr>
                <w:rFonts w:cs="Arial"/>
                <w:color w:val="000000"/>
                <w:szCs w:val="24"/>
                <w:lang w:eastAsia="en-GB"/>
              </w:rPr>
              <w:t>(cm)</w:t>
            </w:r>
            <w:r w:rsidRPr="00CF2268">
              <w:rPr>
                <w:rFonts w:cs="Arial"/>
                <w:b/>
                <w:color w:val="000000"/>
                <w:szCs w:val="24"/>
                <w:lang w:eastAsia="en-GB"/>
              </w:rPr>
              <w:t xml:space="preserve"> – 154) x 0.9 ]  + 45.5</w:t>
            </w:r>
          </w:p>
          <w:p w14:paraId="6B5BBEEB" w14:textId="77777777" w:rsidR="00C2178C" w:rsidRPr="00CF2268" w:rsidRDefault="00C2178C" w:rsidP="00FB0635">
            <w:pPr>
              <w:autoSpaceDE w:val="0"/>
              <w:autoSpaceDN w:val="0"/>
              <w:adjustRightInd w:val="0"/>
              <w:spacing w:before="120" w:after="120"/>
              <w:rPr>
                <w:rFonts w:cs="Arial"/>
                <w:b/>
                <w:color w:val="000000"/>
                <w:szCs w:val="24"/>
                <w:lang w:eastAsia="en-GB"/>
              </w:rPr>
            </w:pPr>
          </w:p>
          <w:p w14:paraId="39B81DA8" w14:textId="77777777" w:rsidR="00C2178C" w:rsidRPr="00CF2268" w:rsidRDefault="00C2178C" w:rsidP="00FB0635">
            <w:pPr>
              <w:autoSpaceDE w:val="0"/>
              <w:autoSpaceDN w:val="0"/>
              <w:adjustRightInd w:val="0"/>
              <w:spacing w:before="120" w:after="120"/>
              <w:ind w:left="560" w:hanging="560"/>
              <w:rPr>
                <w:rFonts w:cs="Arial"/>
                <w:b/>
                <w:color w:val="000000"/>
                <w:szCs w:val="24"/>
                <w:lang w:eastAsia="en-GB"/>
              </w:rPr>
            </w:pPr>
            <w:r w:rsidRPr="00CF2268">
              <w:rPr>
                <w:rFonts w:cs="Arial"/>
                <w:b/>
                <w:color w:val="000000"/>
                <w:szCs w:val="24"/>
                <w:lang w:eastAsia="en-GB"/>
              </w:rPr>
              <w:t>3.</w:t>
            </w:r>
            <w:r w:rsidRPr="00CF2268">
              <w:rPr>
                <w:rFonts w:cs="Arial"/>
                <w:b/>
                <w:color w:val="000000"/>
                <w:szCs w:val="24"/>
                <w:lang w:eastAsia="en-GB"/>
              </w:rPr>
              <w:tab/>
              <w:t>Calculate Renal Function using Cockroft Gault Formula as an estimate of Creatinine Clearance (Cr Cl)</w:t>
            </w:r>
          </w:p>
          <w:p w14:paraId="6756793D" w14:textId="77777777" w:rsidR="00C2178C" w:rsidRPr="00CF2268" w:rsidRDefault="00C2178C" w:rsidP="00FB0635">
            <w:pPr>
              <w:autoSpaceDE w:val="0"/>
              <w:autoSpaceDN w:val="0"/>
              <w:adjustRightInd w:val="0"/>
              <w:spacing w:before="120" w:after="120"/>
              <w:ind w:left="560"/>
              <w:rPr>
                <w:rFonts w:cs="Arial"/>
                <w:color w:val="000000"/>
                <w:szCs w:val="24"/>
                <w:u w:val="single"/>
                <w:lang w:eastAsia="en-GB"/>
              </w:rPr>
            </w:pPr>
            <w:r w:rsidRPr="00CF2268">
              <w:rPr>
                <w:rFonts w:cs="Arial"/>
                <w:b/>
                <w:color w:val="FF6600"/>
                <w:szCs w:val="24"/>
                <w:u w:val="single"/>
                <w:lang w:eastAsia="en-GB"/>
              </w:rPr>
              <w:t>Weight</w:t>
            </w:r>
            <w:r w:rsidRPr="00CF2268">
              <w:rPr>
                <w:rFonts w:cs="Arial"/>
                <w:color w:val="FF6600"/>
                <w:szCs w:val="24"/>
                <w:u w:val="single"/>
                <w:lang w:eastAsia="en-GB"/>
              </w:rPr>
              <w:t>*</w:t>
            </w:r>
            <w:r w:rsidRPr="00CF2268">
              <w:rPr>
                <w:rFonts w:cs="Arial"/>
                <w:b/>
                <w:color w:val="FF6600"/>
                <w:szCs w:val="24"/>
                <w:u w:val="single"/>
                <w:lang w:eastAsia="en-GB"/>
              </w:rPr>
              <w:t xml:space="preserve"> (kg</w:t>
            </w:r>
            <w:r w:rsidRPr="00CF2268">
              <w:rPr>
                <w:rFonts w:cs="Arial"/>
                <w:color w:val="FF6600"/>
                <w:szCs w:val="24"/>
                <w:u w:val="single"/>
                <w:lang w:eastAsia="en-GB"/>
              </w:rPr>
              <w:t>)</w:t>
            </w:r>
            <w:r w:rsidRPr="00CF2268">
              <w:rPr>
                <w:rFonts w:cs="Arial"/>
                <w:color w:val="000000"/>
                <w:szCs w:val="24"/>
                <w:u w:val="single"/>
                <w:lang w:eastAsia="en-GB"/>
              </w:rPr>
              <w:t xml:space="preserve"> use IBW (except if Obese/Underweight)</w:t>
            </w:r>
          </w:p>
          <w:p w14:paraId="7B7616BD" w14:textId="77777777" w:rsidR="00C2178C" w:rsidRPr="00CF2268" w:rsidRDefault="00C2178C" w:rsidP="00FB0635">
            <w:pPr>
              <w:autoSpaceDE w:val="0"/>
              <w:autoSpaceDN w:val="0"/>
              <w:adjustRightInd w:val="0"/>
              <w:spacing w:before="120" w:after="120"/>
              <w:ind w:left="560"/>
              <w:rPr>
                <w:rFonts w:cs="Arial"/>
                <w:bCs w:val="0"/>
                <w:color w:val="000000"/>
                <w:szCs w:val="24"/>
                <w:u w:val="single"/>
                <w:lang w:eastAsia="en-GB"/>
              </w:rPr>
            </w:pPr>
            <w:r w:rsidRPr="00CF2268">
              <w:rPr>
                <w:rFonts w:cs="Arial"/>
                <w:bCs w:val="0"/>
                <w:color w:val="000000"/>
                <w:szCs w:val="24"/>
                <w:lang w:eastAsia="en-GB"/>
              </w:rPr>
              <w:t>Underweight- If a patient’s body weight is less than the IBW then use Actual Body Weight</w:t>
            </w:r>
          </w:p>
          <w:p w14:paraId="7C533AFB" w14:textId="77777777" w:rsidR="00C2178C" w:rsidRPr="00CF2268" w:rsidRDefault="00C2178C" w:rsidP="00FB0635">
            <w:pPr>
              <w:autoSpaceDE w:val="0"/>
              <w:autoSpaceDN w:val="0"/>
              <w:adjustRightInd w:val="0"/>
              <w:spacing w:before="120" w:after="120"/>
              <w:ind w:left="560"/>
              <w:rPr>
                <w:rFonts w:cs="Arial"/>
                <w:bCs w:val="0"/>
                <w:color w:val="000000"/>
                <w:szCs w:val="24"/>
                <w:lang w:eastAsia="en-GB"/>
              </w:rPr>
            </w:pPr>
            <w:r w:rsidRPr="00CF2268">
              <w:rPr>
                <w:rFonts w:cs="Arial"/>
                <w:color w:val="000000"/>
                <w:szCs w:val="24"/>
                <w:lang w:eastAsia="en-GB"/>
              </w:rPr>
              <w:t xml:space="preserve">Obese – If a patient’s body weight is </w:t>
            </w:r>
            <w:r w:rsidRPr="00CF2268">
              <w:rPr>
                <w:rFonts w:cs="Arial"/>
                <w:bCs w:val="0"/>
                <w:color w:val="000000"/>
                <w:szCs w:val="24"/>
                <w:lang w:eastAsia="en-GB"/>
              </w:rPr>
              <w:t>&gt; 30% above the IBW then use an Adjusted Body Weight ( Adj BW) in  the Cr Cl calculation.</w:t>
            </w:r>
          </w:p>
          <w:p w14:paraId="200AA5CC" w14:textId="77777777" w:rsidR="00C2178C" w:rsidRPr="00CF2268" w:rsidRDefault="00C2178C" w:rsidP="00FB0635">
            <w:pPr>
              <w:autoSpaceDE w:val="0"/>
              <w:autoSpaceDN w:val="0"/>
              <w:adjustRightInd w:val="0"/>
              <w:spacing w:before="120" w:after="120"/>
              <w:ind w:left="560"/>
              <w:rPr>
                <w:rFonts w:cs="Arial"/>
                <w:bCs w:val="0"/>
                <w:color w:val="000000"/>
                <w:szCs w:val="24"/>
                <w:lang w:eastAsia="en-GB"/>
              </w:rPr>
            </w:pPr>
            <w:r w:rsidRPr="00CF2268">
              <w:rPr>
                <w:rFonts w:cs="Arial"/>
                <w:bCs w:val="0"/>
                <w:color w:val="000000"/>
                <w:szCs w:val="24"/>
                <w:lang w:eastAsia="en-GB"/>
              </w:rPr>
              <w:t xml:space="preserve">                  Adj BW = IBW  + 0.4(Actual Body Weight – IBW)</w:t>
            </w:r>
          </w:p>
          <w:p w14:paraId="53874B44" w14:textId="77777777" w:rsidR="00C2178C" w:rsidRPr="00CF2268" w:rsidRDefault="00C2178C" w:rsidP="00FB0635">
            <w:pPr>
              <w:autoSpaceDE w:val="0"/>
              <w:autoSpaceDN w:val="0"/>
              <w:adjustRightInd w:val="0"/>
              <w:spacing w:before="120" w:after="120"/>
              <w:jc w:val="center"/>
              <w:rPr>
                <w:rFonts w:cs="Arial"/>
                <w:b/>
                <w:szCs w:val="24"/>
              </w:rPr>
            </w:pPr>
          </w:p>
          <w:p w14:paraId="085F4679" w14:textId="77777777" w:rsidR="00C2178C" w:rsidRPr="00CF2268" w:rsidRDefault="00C2178C" w:rsidP="00FB0635">
            <w:pPr>
              <w:autoSpaceDE w:val="0"/>
              <w:autoSpaceDN w:val="0"/>
              <w:adjustRightInd w:val="0"/>
              <w:spacing w:before="120" w:after="120"/>
              <w:ind w:left="560" w:hanging="560"/>
              <w:rPr>
                <w:rFonts w:cs="Arial"/>
                <w:bCs w:val="0"/>
                <w:color w:val="000000"/>
                <w:szCs w:val="24"/>
                <w:lang w:eastAsia="en-GB"/>
              </w:rPr>
            </w:pPr>
            <w:r w:rsidRPr="00CF2268">
              <w:rPr>
                <w:rFonts w:cs="Arial"/>
                <w:b/>
                <w:szCs w:val="24"/>
              </w:rPr>
              <w:t>4.</w:t>
            </w:r>
            <w:r w:rsidRPr="00CF2268">
              <w:rPr>
                <w:rFonts w:cs="Arial"/>
                <w:b/>
                <w:szCs w:val="24"/>
              </w:rPr>
              <w:tab/>
              <w:t>The Cockcroft-Gault Formula</w:t>
            </w:r>
          </w:p>
          <w:p w14:paraId="4A1F5078" w14:textId="77777777" w:rsidR="00C2178C" w:rsidRPr="00CF2268" w:rsidRDefault="00C2178C" w:rsidP="00FB0635">
            <w:pPr>
              <w:autoSpaceDE w:val="0"/>
              <w:autoSpaceDN w:val="0"/>
              <w:adjustRightInd w:val="0"/>
              <w:spacing w:before="120" w:after="120"/>
              <w:ind w:left="560"/>
              <w:rPr>
                <w:rFonts w:cs="Arial"/>
                <w:bCs w:val="0"/>
                <w:color w:val="000000"/>
                <w:szCs w:val="24"/>
                <w:lang w:eastAsia="en-GB"/>
              </w:rPr>
            </w:pPr>
            <w:r w:rsidRPr="00CF2268">
              <w:rPr>
                <w:rFonts w:cs="Arial"/>
                <w:bCs w:val="0"/>
                <w:color w:val="000000"/>
                <w:szCs w:val="24"/>
                <w:lang w:eastAsia="en-GB"/>
              </w:rPr>
              <w:t>The Cockroft- Gault formula can be used to estimate the creatinine clearance (CrCl) in adults.   The formula must not be used when the serum creatinine is not stable; pregnancy; ascites; oedema or in children.</w:t>
            </w:r>
          </w:p>
          <w:p w14:paraId="2E5EF47F" w14:textId="77777777" w:rsidR="00C2178C" w:rsidRPr="00CF2268" w:rsidRDefault="00C2178C" w:rsidP="00FB0635">
            <w:pPr>
              <w:autoSpaceDE w:val="0"/>
              <w:autoSpaceDN w:val="0"/>
              <w:adjustRightInd w:val="0"/>
              <w:spacing w:before="120" w:after="120"/>
              <w:ind w:left="560"/>
              <w:rPr>
                <w:rFonts w:cs="Arial"/>
                <w:bCs w:val="0"/>
                <w:color w:val="000000"/>
                <w:szCs w:val="24"/>
                <w:lang w:eastAsia="en-GB"/>
              </w:rPr>
            </w:pPr>
          </w:p>
          <w:p w14:paraId="0BD66B01" w14:textId="77777777" w:rsidR="00C2178C" w:rsidRPr="00CF2268" w:rsidRDefault="00C2178C" w:rsidP="00FB0635">
            <w:pPr>
              <w:autoSpaceDE w:val="0"/>
              <w:autoSpaceDN w:val="0"/>
              <w:adjustRightInd w:val="0"/>
              <w:spacing w:before="120" w:after="120"/>
              <w:ind w:left="560"/>
              <w:rPr>
                <w:rFonts w:cs="Arial"/>
                <w:b/>
                <w:bCs w:val="0"/>
                <w:color w:val="000000"/>
                <w:szCs w:val="24"/>
                <w:lang w:eastAsia="en-GB"/>
              </w:rPr>
            </w:pPr>
            <w:r w:rsidRPr="00CF2268">
              <w:rPr>
                <w:rFonts w:cs="Arial"/>
                <w:bCs w:val="0"/>
                <w:color w:val="000000"/>
                <w:szCs w:val="24"/>
                <w:lang w:eastAsia="en-GB"/>
              </w:rPr>
              <w:t xml:space="preserve">BNF :  Cr Cl calculator: </w:t>
            </w:r>
          </w:p>
          <w:p w14:paraId="3BD3C80D" w14:textId="77777777" w:rsidR="00C2178C" w:rsidRPr="00CF2268" w:rsidRDefault="00C2178C" w:rsidP="00FB0635">
            <w:pPr>
              <w:autoSpaceDE w:val="0"/>
              <w:autoSpaceDN w:val="0"/>
              <w:adjustRightInd w:val="0"/>
              <w:spacing w:before="120" w:after="120"/>
              <w:ind w:left="560"/>
              <w:rPr>
                <w:rFonts w:cs="Arial"/>
                <w:bCs w:val="0"/>
                <w:color w:val="000000"/>
                <w:szCs w:val="24"/>
                <w:lang w:eastAsia="en-GB"/>
              </w:rPr>
            </w:pPr>
            <w:r w:rsidRPr="00CF2268">
              <w:rPr>
                <w:rFonts w:cs="Arial"/>
                <w:b/>
                <w:bCs w:val="0"/>
                <w:color w:val="000000"/>
                <w:szCs w:val="24"/>
                <w:lang w:eastAsia="en-GB"/>
              </w:rPr>
              <w:t xml:space="preserve">Constant </w:t>
            </w:r>
            <w:r w:rsidRPr="00CF2268">
              <w:rPr>
                <w:rFonts w:cs="Arial"/>
                <w:bCs w:val="0"/>
                <w:color w:val="000000"/>
                <w:szCs w:val="24"/>
                <w:lang w:eastAsia="en-GB"/>
              </w:rPr>
              <w:t xml:space="preserve">    Male = 1.23 Female = 1.04</w:t>
            </w:r>
          </w:p>
          <w:p w14:paraId="46AE6786" w14:textId="77777777" w:rsidR="00C2178C" w:rsidRPr="00CF2268" w:rsidRDefault="00C2178C" w:rsidP="00FB0635">
            <w:pPr>
              <w:autoSpaceDE w:val="0"/>
              <w:autoSpaceDN w:val="0"/>
              <w:adjustRightInd w:val="0"/>
              <w:spacing w:before="120" w:after="120"/>
              <w:ind w:left="560"/>
              <w:rPr>
                <w:rFonts w:cs="Arial"/>
                <w:color w:val="000000"/>
                <w:szCs w:val="24"/>
                <w:lang w:eastAsia="en-GB"/>
              </w:rPr>
            </w:pPr>
            <w:r w:rsidRPr="00CF2268">
              <w:rPr>
                <w:rFonts w:cs="Arial"/>
                <w:color w:val="000000"/>
                <w:szCs w:val="24"/>
                <w:lang w:eastAsia="en-GB"/>
              </w:rPr>
              <w:t xml:space="preserve">   CrCl (ml/min)</w:t>
            </w:r>
            <w:r w:rsidRPr="00CF2268">
              <w:rPr>
                <w:rFonts w:cs="Arial"/>
                <w:b/>
                <w:color w:val="000000"/>
                <w:szCs w:val="24"/>
                <w:lang w:eastAsia="en-GB"/>
              </w:rPr>
              <w:t xml:space="preserve"> </w:t>
            </w:r>
            <w:r w:rsidRPr="00CF2268">
              <w:rPr>
                <w:rFonts w:cs="Arial"/>
                <w:color w:val="000000"/>
                <w:szCs w:val="24"/>
                <w:lang w:eastAsia="en-GB"/>
              </w:rPr>
              <w:t>= (</w:t>
            </w:r>
            <w:r w:rsidRPr="00CF2268">
              <w:rPr>
                <w:rFonts w:cs="Arial"/>
                <w:color w:val="000000"/>
                <w:szCs w:val="24"/>
                <w:u w:val="single"/>
                <w:lang w:eastAsia="en-GB"/>
              </w:rPr>
              <w:t xml:space="preserve">140 – Age) x </w:t>
            </w:r>
            <w:r w:rsidRPr="00CF2268">
              <w:rPr>
                <w:rFonts w:cs="Arial"/>
                <w:b/>
                <w:color w:val="FF6600"/>
                <w:szCs w:val="24"/>
                <w:u w:val="single"/>
                <w:lang w:eastAsia="en-GB"/>
              </w:rPr>
              <w:t>Weight * (kg)</w:t>
            </w:r>
            <w:r w:rsidRPr="00CF2268">
              <w:rPr>
                <w:rFonts w:cs="Arial"/>
                <w:color w:val="000000"/>
                <w:szCs w:val="24"/>
                <w:u w:val="single"/>
                <w:lang w:eastAsia="en-GB"/>
              </w:rPr>
              <w:t xml:space="preserve"> x constant</w:t>
            </w:r>
            <w:r w:rsidRPr="00CF2268">
              <w:rPr>
                <w:rFonts w:cs="Arial"/>
                <w:color w:val="000000"/>
                <w:szCs w:val="24"/>
                <w:lang w:eastAsia="en-GB"/>
              </w:rPr>
              <w:t xml:space="preserve">  </w:t>
            </w:r>
          </w:p>
          <w:p w14:paraId="2BC6607D" w14:textId="77777777" w:rsidR="00C2178C" w:rsidRPr="00CF2268" w:rsidRDefault="00C2178C" w:rsidP="00FB0635">
            <w:pPr>
              <w:autoSpaceDE w:val="0"/>
              <w:autoSpaceDN w:val="0"/>
              <w:adjustRightInd w:val="0"/>
              <w:spacing w:before="120" w:after="120"/>
              <w:ind w:left="560"/>
              <w:rPr>
                <w:rFonts w:cs="Arial"/>
                <w:color w:val="000000"/>
                <w:szCs w:val="24"/>
                <w:lang w:eastAsia="en-GB"/>
              </w:rPr>
            </w:pPr>
            <w:r w:rsidRPr="00CF2268">
              <w:rPr>
                <w:rFonts w:cs="Arial"/>
                <w:color w:val="000000"/>
                <w:szCs w:val="24"/>
                <w:lang w:eastAsia="en-GB"/>
              </w:rPr>
              <w:t xml:space="preserve">                              Serum Creatinine (micromol/L)</w:t>
            </w:r>
          </w:p>
          <w:p w14:paraId="747068F5" w14:textId="77777777" w:rsidR="00C2178C" w:rsidRPr="00DB608D" w:rsidRDefault="00C2178C" w:rsidP="00FB0635">
            <w:pPr>
              <w:spacing w:before="120" w:after="120"/>
              <w:ind w:left="567" w:hanging="567"/>
            </w:pPr>
          </w:p>
        </w:tc>
      </w:tr>
    </w:tbl>
    <w:p w14:paraId="5E550634" w14:textId="77777777" w:rsidR="00C2178C" w:rsidRDefault="00C2178C" w:rsidP="00C2178C"/>
    <w:p w14:paraId="7EDBE456" w14:textId="77777777" w:rsidR="00C2178C" w:rsidRDefault="00C2178C" w:rsidP="00C2178C">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567"/>
        <w:gridCol w:w="353"/>
        <w:gridCol w:w="582"/>
        <w:gridCol w:w="1476"/>
        <w:gridCol w:w="511"/>
        <w:gridCol w:w="8"/>
        <w:gridCol w:w="879"/>
        <w:gridCol w:w="378"/>
        <w:gridCol w:w="625"/>
        <w:gridCol w:w="473"/>
        <w:gridCol w:w="421"/>
        <w:gridCol w:w="154"/>
        <w:gridCol w:w="318"/>
        <w:gridCol w:w="1234"/>
      </w:tblGrid>
      <w:tr w:rsidR="00C2178C" w:rsidRPr="00E502D7" w14:paraId="56294514" w14:textId="77777777" w:rsidTr="00FB0635">
        <w:trPr>
          <w:cantSplit/>
          <w:tblHeader/>
          <w:jc w:val="center"/>
        </w:trPr>
        <w:tc>
          <w:tcPr>
            <w:tcW w:w="5000" w:type="pct"/>
            <w:gridSpan w:val="15"/>
          </w:tcPr>
          <w:p w14:paraId="54D3A337" w14:textId="77777777" w:rsidR="00C2178C" w:rsidRPr="00E502D7" w:rsidRDefault="00C2178C" w:rsidP="00FB0635">
            <w:pPr>
              <w:pStyle w:val="Appendix"/>
              <w:rPr>
                <w:b w:val="0"/>
                <w:color w:val="FF0000"/>
              </w:rPr>
            </w:pPr>
            <w:bookmarkStart w:id="71" w:name="_Toc170131885"/>
            <w:bookmarkStart w:id="72" w:name="_Toc184021162"/>
            <w:r w:rsidRPr="00E502D7">
              <w:lastRenderedPageBreak/>
              <w:t>Appendix 3: Equality Impact Assessment Form</w:t>
            </w:r>
            <w:bookmarkEnd w:id="71"/>
            <w:bookmarkEnd w:id="72"/>
          </w:p>
        </w:tc>
      </w:tr>
      <w:tr w:rsidR="00C2178C" w:rsidRPr="00E502D7" w14:paraId="05F70C86" w14:textId="77777777" w:rsidTr="00FB0635">
        <w:tblPrEx>
          <w:tblLook w:val="04A0" w:firstRow="1" w:lastRow="0" w:firstColumn="1" w:lastColumn="0" w:noHBand="0" w:noVBand="1"/>
        </w:tblPrEx>
        <w:trPr>
          <w:cantSplit/>
          <w:jc w:val="center"/>
        </w:trPr>
        <w:tc>
          <w:tcPr>
            <w:tcW w:w="858" w:type="pct"/>
            <w:shd w:val="clear" w:color="auto" w:fill="D9D9D9"/>
          </w:tcPr>
          <w:p w14:paraId="084BF0C7"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Department</w:t>
            </w:r>
          </w:p>
        </w:tc>
        <w:tc>
          <w:tcPr>
            <w:tcW w:w="785" w:type="pct"/>
            <w:gridSpan w:val="3"/>
          </w:tcPr>
          <w:p w14:paraId="6460B3F8" w14:textId="77777777" w:rsidR="00C2178C" w:rsidRPr="00E502D7" w:rsidRDefault="00C2178C" w:rsidP="00FB0635">
            <w:pPr>
              <w:rPr>
                <w:rFonts w:ascii="Arial Narrow" w:hAnsi="Arial Narrow" w:cs="Arial"/>
                <w:bCs w:val="0"/>
                <w:sz w:val="18"/>
                <w:szCs w:val="18"/>
              </w:rPr>
            </w:pPr>
            <w:r>
              <w:rPr>
                <w:rFonts w:ascii="Arial Narrow" w:hAnsi="Arial Narrow" w:cs="Arial"/>
                <w:bCs w:val="0"/>
                <w:sz w:val="18"/>
                <w:szCs w:val="18"/>
              </w:rPr>
              <w:t>Pharmacy</w:t>
            </w:r>
          </w:p>
        </w:tc>
        <w:tc>
          <w:tcPr>
            <w:tcW w:w="768" w:type="pct"/>
            <w:shd w:val="clear" w:color="auto" w:fill="D9D9D9"/>
          </w:tcPr>
          <w:p w14:paraId="6CE51B57"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Service or Policy</w:t>
            </w:r>
          </w:p>
        </w:tc>
        <w:tc>
          <w:tcPr>
            <w:tcW w:w="709" w:type="pct"/>
            <w:gridSpan w:val="3"/>
          </w:tcPr>
          <w:p w14:paraId="2C56C82D" w14:textId="77777777" w:rsidR="00C2178C" w:rsidRPr="00E502D7" w:rsidRDefault="00C2178C" w:rsidP="00FB0635">
            <w:pPr>
              <w:rPr>
                <w:rFonts w:ascii="Arial Narrow" w:hAnsi="Arial Narrow" w:cs="Arial"/>
                <w:bCs w:val="0"/>
                <w:sz w:val="18"/>
                <w:szCs w:val="18"/>
              </w:rPr>
            </w:pPr>
            <w:r>
              <w:rPr>
                <w:rFonts w:ascii="Arial Narrow" w:hAnsi="Arial Narrow" w:cs="Arial"/>
                <w:bCs w:val="0"/>
                <w:sz w:val="18"/>
                <w:szCs w:val="18"/>
              </w:rPr>
              <w:t>CORP/PROC/601</w:t>
            </w:r>
          </w:p>
        </w:tc>
        <w:tc>
          <w:tcPr>
            <w:tcW w:w="991" w:type="pct"/>
            <w:gridSpan w:val="4"/>
            <w:shd w:val="clear" w:color="auto" w:fill="D9D9D9"/>
          </w:tcPr>
          <w:p w14:paraId="184A2BA9"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Date Completed:</w:t>
            </w:r>
          </w:p>
        </w:tc>
        <w:tc>
          <w:tcPr>
            <w:tcW w:w="889" w:type="pct"/>
            <w:gridSpan w:val="3"/>
          </w:tcPr>
          <w:p w14:paraId="7079A68B" w14:textId="77777777" w:rsidR="00C2178C" w:rsidRPr="00E502D7" w:rsidRDefault="00C2178C" w:rsidP="00FB0635">
            <w:pPr>
              <w:rPr>
                <w:rFonts w:ascii="Arial Narrow" w:hAnsi="Arial Narrow" w:cs="Arial"/>
                <w:bCs w:val="0"/>
                <w:sz w:val="18"/>
                <w:szCs w:val="18"/>
              </w:rPr>
            </w:pPr>
            <w:r>
              <w:rPr>
                <w:rFonts w:ascii="Arial Narrow" w:hAnsi="Arial Narrow" w:cs="Arial"/>
                <w:bCs w:val="0"/>
                <w:sz w:val="18"/>
                <w:szCs w:val="18"/>
              </w:rPr>
              <w:t>23/3/21</w:t>
            </w:r>
          </w:p>
        </w:tc>
      </w:tr>
      <w:tr w:rsidR="00C2178C" w:rsidRPr="00E502D7" w14:paraId="22AF6F1F" w14:textId="77777777" w:rsidTr="00FB0635">
        <w:tblPrEx>
          <w:tblLook w:val="04A0" w:firstRow="1" w:lastRow="0" w:firstColumn="1" w:lastColumn="0" w:noHBand="0" w:noVBand="1"/>
        </w:tblPrEx>
        <w:trPr>
          <w:cantSplit/>
          <w:jc w:val="center"/>
        </w:trPr>
        <w:tc>
          <w:tcPr>
            <w:tcW w:w="5000" w:type="pct"/>
            <w:gridSpan w:val="15"/>
          </w:tcPr>
          <w:p w14:paraId="71A8250D" w14:textId="77777777" w:rsidR="00C2178C" w:rsidRPr="00E502D7" w:rsidRDefault="00C2178C" w:rsidP="00FB0635">
            <w:pPr>
              <w:rPr>
                <w:rFonts w:ascii="Arial Narrow" w:hAnsi="Arial Narrow" w:cs="Arial"/>
                <w:bCs w:val="0"/>
                <w:sz w:val="18"/>
                <w:szCs w:val="18"/>
              </w:rPr>
            </w:pPr>
            <w:r w:rsidRPr="00E502D7">
              <w:rPr>
                <w:rFonts w:ascii="Arial Narrow" w:hAnsi="Arial Narrow" w:cs="Arial"/>
                <w:b/>
                <w:bCs w:val="0"/>
                <w:sz w:val="18"/>
                <w:szCs w:val="18"/>
              </w:rPr>
              <w:t>GROUPS TO BE CONSIDERED</w:t>
            </w:r>
          </w:p>
          <w:p w14:paraId="5AA262A6" w14:textId="77777777" w:rsidR="00C2178C" w:rsidRPr="00E502D7" w:rsidRDefault="00C2178C" w:rsidP="00FB0635">
            <w:pPr>
              <w:rPr>
                <w:rFonts w:ascii="Arial Narrow" w:hAnsi="Arial Narrow" w:cs="Arial"/>
                <w:bCs w:val="0"/>
                <w:sz w:val="18"/>
                <w:szCs w:val="18"/>
              </w:rPr>
            </w:pPr>
            <w:r w:rsidRPr="00E502D7">
              <w:rPr>
                <w:rFonts w:ascii="Arial Narrow" w:hAnsi="Arial Narrow" w:cs="Arial"/>
                <w:bCs w:val="0"/>
                <w:sz w:val="18"/>
                <w:szCs w:val="18"/>
              </w:rPr>
              <w:t>Deprived communities, homeless, substance misusers, people who have a disability, learning disability, older people, children and families, young people, Lesbian Gay Bi-sexual or Transgender, minority ethnic communities, Gypsy/Roma/Travellers, women/men, parents, carers, staff, wider community, offenders.</w:t>
            </w:r>
          </w:p>
        </w:tc>
      </w:tr>
      <w:tr w:rsidR="00C2178C" w:rsidRPr="00E502D7" w14:paraId="37269152" w14:textId="77777777" w:rsidTr="00FB0635">
        <w:tblPrEx>
          <w:tblLook w:val="04A0" w:firstRow="1" w:lastRow="0" w:firstColumn="1" w:lastColumn="0" w:noHBand="0" w:noVBand="1"/>
        </w:tblPrEx>
        <w:trPr>
          <w:cantSplit/>
          <w:jc w:val="center"/>
        </w:trPr>
        <w:tc>
          <w:tcPr>
            <w:tcW w:w="5000" w:type="pct"/>
            <w:gridSpan w:val="15"/>
            <w:tcBorders>
              <w:bottom w:val="single" w:sz="4" w:space="0" w:color="000000"/>
            </w:tcBorders>
          </w:tcPr>
          <w:p w14:paraId="3F46B28E" w14:textId="77777777" w:rsidR="00C2178C" w:rsidRPr="00E502D7" w:rsidRDefault="00C2178C" w:rsidP="00FB0635">
            <w:pPr>
              <w:rPr>
                <w:rFonts w:ascii="Arial Narrow" w:hAnsi="Arial Narrow" w:cs="Arial"/>
                <w:bCs w:val="0"/>
                <w:sz w:val="18"/>
                <w:szCs w:val="18"/>
              </w:rPr>
            </w:pPr>
            <w:r w:rsidRPr="00E502D7">
              <w:rPr>
                <w:rFonts w:ascii="Arial Narrow" w:hAnsi="Arial Narrow" w:cs="Arial"/>
                <w:b/>
                <w:bCs w:val="0"/>
                <w:sz w:val="18"/>
                <w:szCs w:val="18"/>
              </w:rPr>
              <w:t>EQUALITY PROTECTED CHARACTERISTICS TO BE CONSIDERED</w:t>
            </w:r>
          </w:p>
          <w:p w14:paraId="163CD791" w14:textId="77777777" w:rsidR="00C2178C" w:rsidRPr="00E502D7" w:rsidRDefault="00C2178C" w:rsidP="00FB0635">
            <w:pPr>
              <w:rPr>
                <w:rFonts w:ascii="Arial Narrow" w:hAnsi="Arial Narrow" w:cs="Arial"/>
                <w:bCs w:val="0"/>
                <w:sz w:val="18"/>
                <w:szCs w:val="18"/>
              </w:rPr>
            </w:pPr>
            <w:r w:rsidRPr="00E502D7">
              <w:rPr>
                <w:rFonts w:ascii="Arial Narrow" w:hAnsi="Arial Narrow" w:cs="Arial"/>
                <w:bCs w:val="0"/>
                <w:sz w:val="18"/>
                <w:szCs w:val="18"/>
              </w:rPr>
              <w:t>Age, gender, disability, race, sexual orientation, gender identity (or reassignment), religion and belief, carers, Human Rights and social economic / deprivation.</w:t>
            </w:r>
          </w:p>
        </w:tc>
      </w:tr>
      <w:tr w:rsidR="00C2178C" w:rsidRPr="00E502D7" w14:paraId="5AD4ABC2" w14:textId="77777777" w:rsidTr="00FB0635">
        <w:tblPrEx>
          <w:tblLook w:val="04A0" w:firstRow="1" w:lastRow="0" w:firstColumn="1" w:lastColumn="0" w:noHBand="0" w:noVBand="1"/>
        </w:tblPrEx>
        <w:trPr>
          <w:cantSplit/>
          <w:jc w:val="center"/>
        </w:trPr>
        <w:tc>
          <w:tcPr>
            <w:tcW w:w="1339" w:type="pct"/>
            <w:gridSpan w:val="3"/>
            <w:vMerge w:val="restart"/>
            <w:shd w:val="clear" w:color="auto" w:fill="D9D9D9"/>
          </w:tcPr>
          <w:p w14:paraId="5DA1C0BE" w14:textId="77777777" w:rsidR="00C2178C" w:rsidRPr="00E502D7" w:rsidRDefault="00C2178C" w:rsidP="00FB0635">
            <w:pPr>
              <w:jc w:val="center"/>
              <w:rPr>
                <w:rFonts w:ascii="Arial Narrow" w:hAnsi="Arial Narrow" w:cs="Arial"/>
                <w:b/>
                <w:bCs w:val="0"/>
                <w:sz w:val="18"/>
                <w:szCs w:val="18"/>
              </w:rPr>
            </w:pPr>
            <w:r w:rsidRPr="00E502D7">
              <w:rPr>
                <w:rFonts w:ascii="Arial Narrow" w:hAnsi="Arial Narrow" w:cs="Arial"/>
                <w:b/>
                <w:bCs w:val="0"/>
                <w:sz w:val="18"/>
                <w:szCs w:val="18"/>
              </w:rPr>
              <w:t>QUESTION</w:t>
            </w:r>
          </w:p>
        </w:tc>
        <w:tc>
          <w:tcPr>
            <w:tcW w:w="2305" w:type="pct"/>
            <w:gridSpan w:val="7"/>
            <w:tcBorders>
              <w:right w:val="single" w:sz="4" w:space="0" w:color="auto"/>
            </w:tcBorders>
            <w:shd w:val="clear" w:color="auto" w:fill="D9D9D9"/>
          </w:tcPr>
          <w:p w14:paraId="216C1D94" w14:textId="77777777" w:rsidR="00C2178C" w:rsidRPr="00E502D7" w:rsidRDefault="00C2178C" w:rsidP="00FB0635">
            <w:pPr>
              <w:jc w:val="center"/>
              <w:rPr>
                <w:rFonts w:ascii="Arial Narrow" w:hAnsi="Arial Narrow" w:cs="Arial"/>
                <w:b/>
                <w:bCs w:val="0"/>
                <w:sz w:val="18"/>
                <w:szCs w:val="18"/>
              </w:rPr>
            </w:pPr>
            <w:r w:rsidRPr="00E502D7">
              <w:rPr>
                <w:rFonts w:ascii="Arial Narrow" w:hAnsi="Arial Narrow" w:cs="Arial"/>
                <w:b/>
                <w:bCs w:val="0"/>
                <w:sz w:val="18"/>
                <w:szCs w:val="18"/>
              </w:rPr>
              <w:t>RESPONSE</w:t>
            </w:r>
          </w:p>
        </w:tc>
        <w:tc>
          <w:tcPr>
            <w:tcW w:w="1356" w:type="pct"/>
            <w:gridSpan w:val="5"/>
            <w:shd w:val="clear" w:color="auto" w:fill="D9D9D9"/>
          </w:tcPr>
          <w:p w14:paraId="4BB78777" w14:textId="77777777" w:rsidR="00C2178C" w:rsidRPr="00E502D7" w:rsidRDefault="00C2178C" w:rsidP="00FB0635">
            <w:pPr>
              <w:jc w:val="center"/>
              <w:rPr>
                <w:rFonts w:ascii="Arial Narrow" w:hAnsi="Arial Narrow" w:cs="Arial"/>
                <w:b/>
                <w:bCs w:val="0"/>
                <w:sz w:val="18"/>
                <w:szCs w:val="18"/>
              </w:rPr>
            </w:pPr>
            <w:r w:rsidRPr="00E502D7">
              <w:rPr>
                <w:rFonts w:ascii="Arial Narrow" w:hAnsi="Arial Narrow" w:cs="Arial"/>
                <w:b/>
                <w:bCs w:val="0"/>
                <w:sz w:val="18"/>
                <w:szCs w:val="18"/>
              </w:rPr>
              <w:t>IMPACT</w:t>
            </w:r>
          </w:p>
        </w:tc>
      </w:tr>
      <w:tr w:rsidR="00C2178C" w:rsidRPr="00E502D7" w14:paraId="10A67681" w14:textId="77777777" w:rsidTr="00FB0635">
        <w:tblPrEx>
          <w:tblLook w:val="04A0" w:firstRow="1" w:lastRow="0" w:firstColumn="1" w:lastColumn="0" w:noHBand="0" w:noVBand="1"/>
        </w:tblPrEx>
        <w:trPr>
          <w:cantSplit/>
          <w:jc w:val="center"/>
        </w:trPr>
        <w:tc>
          <w:tcPr>
            <w:tcW w:w="1339" w:type="pct"/>
            <w:gridSpan w:val="3"/>
            <w:vMerge/>
            <w:shd w:val="clear" w:color="auto" w:fill="D9D9D9"/>
          </w:tcPr>
          <w:p w14:paraId="2BCE0EEA" w14:textId="77777777" w:rsidR="00C2178C" w:rsidRPr="00E502D7" w:rsidRDefault="00C2178C" w:rsidP="00FB0635">
            <w:pPr>
              <w:rPr>
                <w:rFonts w:ascii="Arial Narrow" w:hAnsi="Arial Narrow" w:cs="Arial"/>
                <w:b/>
                <w:bCs w:val="0"/>
                <w:sz w:val="18"/>
                <w:szCs w:val="18"/>
              </w:rPr>
            </w:pPr>
          </w:p>
        </w:tc>
        <w:tc>
          <w:tcPr>
            <w:tcW w:w="1331" w:type="pct"/>
            <w:gridSpan w:val="3"/>
            <w:shd w:val="clear" w:color="auto" w:fill="D9D9D9"/>
          </w:tcPr>
          <w:p w14:paraId="1B1EEDE4"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Cs w:val="0"/>
                <w:sz w:val="18"/>
                <w:szCs w:val="18"/>
              </w:rPr>
              <w:t>Issue</w:t>
            </w:r>
          </w:p>
        </w:tc>
        <w:tc>
          <w:tcPr>
            <w:tcW w:w="974" w:type="pct"/>
            <w:gridSpan w:val="4"/>
            <w:tcBorders>
              <w:right w:val="single" w:sz="4" w:space="0" w:color="auto"/>
            </w:tcBorders>
            <w:shd w:val="clear" w:color="auto" w:fill="D9D9D9"/>
          </w:tcPr>
          <w:p w14:paraId="0C99173A"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Cs w:val="0"/>
                <w:sz w:val="18"/>
                <w:szCs w:val="18"/>
              </w:rPr>
              <w:t>Action</w:t>
            </w:r>
          </w:p>
        </w:tc>
        <w:tc>
          <w:tcPr>
            <w:tcW w:w="714" w:type="pct"/>
            <w:gridSpan w:val="4"/>
            <w:tcBorders>
              <w:left w:val="single" w:sz="4" w:space="0" w:color="auto"/>
            </w:tcBorders>
            <w:shd w:val="clear" w:color="auto" w:fill="D9D9D9"/>
          </w:tcPr>
          <w:p w14:paraId="681CC5EA"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Cs w:val="0"/>
                <w:sz w:val="18"/>
                <w:szCs w:val="18"/>
              </w:rPr>
              <w:t>Positive</w:t>
            </w:r>
          </w:p>
        </w:tc>
        <w:tc>
          <w:tcPr>
            <w:tcW w:w="642" w:type="pct"/>
            <w:shd w:val="clear" w:color="auto" w:fill="D9D9D9"/>
          </w:tcPr>
          <w:p w14:paraId="32E1848A"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Cs w:val="0"/>
                <w:sz w:val="18"/>
                <w:szCs w:val="18"/>
              </w:rPr>
              <w:t>Negative</w:t>
            </w:r>
          </w:p>
        </w:tc>
      </w:tr>
      <w:tr w:rsidR="00C2178C" w:rsidRPr="00E502D7" w14:paraId="0DE1E073" w14:textId="77777777" w:rsidTr="00FB0635">
        <w:tblPrEx>
          <w:tblLook w:val="04A0" w:firstRow="1" w:lastRow="0" w:firstColumn="1" w:lastColumn="0" w:noHBand="0" w:noVBand="1"/>
        </w:tblPrEx>
        <w:trPr>
          <w:cantSplit/>
          <w:jc w:val="center"/>
        </w:trPr>
        <w:tc>
          <w:tcPr>
            <w:tcW w:w="1339" w:type="pct"/>
            <w:gridSpan w:val="3"/>
          </w:tcPr>
          <w:p w14:paraId="5D1CFA91"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What is the service, leaflet or policy development?</w:t>
            </w:r>
          </w:p>
          <w:p w14:paraId="3BC5865C"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What are its aims, who are the target audience?</w:t>
            </w:r>
          </w:p>
        </w:tc>
        <w:tc>
          <w:tcPr>
            <w:tcW w:w="1331" w:type="pct"/>
            <w:gridSpan w:val="3"/>
          </w:tcPr>
          <w:p w14:paraId="23C050AA"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All adult inpatients (excluding pregnant patients) being treated for VTE with a LMWH</w:t>
            </w:r>
          </w:p>
        </w:tc>
        <w:tc>
          <w:tcPr>
            <w:tcW w:w="974" w:type="pct"/>
            <w:gridSpan w:val="4"/>
          </w:tcPr>
          <w:p w14:paraId="23E34A0C"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619C825A" w14:textId="77777777" w:rsidR="00C2178C" w:rsidRPr="00E502D7" w:rsidRDefault="00C2178C" w:rsidP="00FB0635">
            <w:pPr>
              <w:rPr>
                <w:rFonts w:ascii="Arial Narrow" w:hAnsi="Arial Narrow" w:cs="Arial"/>
                <w:bCs w:val="0"/>
                <w:color w:val="000000"/>
                <w:sz w:val="16"/>
                <w:szCs w:val="16"/>
              </w:rPr>
            </w:pPr>
          </w:p>
        </w:tc>
        <w:tc>
          <w:tcPr>
            <w:tcW w:w="642" w:type="pct"/>
          </w:tcPr>
          <w:p w14:paraId="4C41A849" w14:textId="77777777" w:rsidR="00C2178C" w:rsidRPr="00E502D7" w:rsidRDefault="00C2178C" w:rsidP="00FB0635">
            <w:pPr>
              <w:rPr>
                <w:rFonts w:ascii="Arial Narrow" w:hAnsi="Arial Narrow" w:cs="Arial"/>
                <w:bCs w:val="0"/>
                <w:color w:val="000000"/>
                <w:sz w:val="16"/>
                <w:szCs w:val="16"/>
              </w:rPr>
            </w:pPr>
          </w:p>
        </w:tc>
      </w:tr>
      <w:tr w:rsidR="00C2178C" w:rsidRPr="00E502D7" w14:paraId="5CC27246" w14:textId="77777777" w:rsidTr="00FB0635">
        <w:tblPrEx>
          <w:tblLook w:val="04A0" w:firstRow="1" w:lastRow="0" w:firstColumn="1" w:lastColumn="0" w:noHBand="0" w:noVBand="1"/>
        </w:tblPrEx>
        <w:trPr>
          <w:cantSplit/>
          <w:jc w:val="center"/>
        </w:trPr>
        <w:tc>
          <w:tcPr>
            <w:tcW w:w="1339" w:type="pct"/>
            <w:gridSpan w:val="3"/>
          </w:tcPr>
          <w:p w14:paraId="2D6C4CC8"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policy/ development impact on community safety</w:t>
            </w:r>
          </w:p>
          <w:p w14:paraId="2ECA668E" w14:textId="77777777" w:rsidR="00C2178C" w:rsidRPr="00E502D7" w:rsidRDefault="00C2178C" w:rsidP="00FB0635">
            <w:pPr>
              <w:numPr>
                <w:ilvl w:val="0"/>
                <w:numId w:val="3"/>
              </w:numPr>
              <w:rPr>
                <w:rFonts w:ascii="Arial Narrow" w:hAnsi="Arial Narrow" w:cs="Arial"/>
                <w:bCs w:val="0"/>
                <w:color w:val="000000"/>
                <w:sz w:val="16"/>
                <w:szCs w:val="16"/>
              </w:rPr>
            </w:pPr>
            <w:r w:rsidRPr="00E502D7">
              <w:rPr>
                <w:rFonts w:ascii="Arial Narrow" w:hAnsi="Arial Narrow" w:cs="Arial"/>
                <w:bCs w:val="0"/>
                <w:color w:val="000000"/>
                <w:sz w:val="16"/>
                <w:szCs w:val="16"/>
              </w:rPr>
              <w:t>Crime</w:t>
            </w:r>
          </w:p>
          <w:p w14:paraId="25CD1D85" w14:textId="77777777" w:rsidR="00C2178C" w:rsidRPr="00E502D7" w:rsidRDefault="00C2178C" w:rsidP="00FB0635">
            <w:pPr>
              <w:numPr>
                <w:ilvl w:val="0"/>
                <w:numId w:val="3"/>
              </w:numPr>
              <w:rPr>
                <w:rFonts w:ascii="Arial Narrow" w:hAnsi="Arial Narrow" w:cs="Arial"/>
                <w:bCs w:val="0"/>
                <w:color w:val="000000"/>
                <w:sz w:val="16"/>
                <w:szCs w:val="16"/>
              </w:rPr>
            </w:pPr>
            <w:r w:rsidRPr="00E502D7">
              <w:rPr>
                <w:rFonts w:ascii="Arial Narrow" w:hAnsi="Arial Narrow" w:cs="Arial"/>
                <w:bCs w:val="0"/>
                <w:color w:val="000000"/>
                <w:sz w:val="16"/>
                <w:szCs w:val="16"/>
              </w:rPr>
              <w:t>Community cohesion</w:t>
            </w:r>
          </w:p>
        </w:tc>
        <w:tc>
          <w:tcPr>
            <w:tcW w:w="1331" w:type="pct"/>
            <w:gridSpan w:val="3"/>
          </w:tcPr>
          <w:p w14:paraId="48F2392E"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0F886697"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7ED47044" w14:textId="77777777" w:rsidR="00C2178C" w:rsidRPr="00E502D7" w:rsidRDefault="00C2178C" w:rsidP="00FB0635">
            <w:pPr>
              <w:rPr>
                <w:rFonts w:ascii="Arial Narrow" w:hAnsi="Arial Narrow" w:cs="Arial"/>
                <w:bCs w:val="0"/>
                <w:color w:val="000000"/>
                <w:sz w:val="16"/>
                <w:szCs w:val="16"/>
              </w:rPr>
            </w:pPr>
          </w:p>
        </w:tc>
        <w:tc>
          <w:tcPr>
            <w:tcW w:w="642" w:type="pct"/>
          </w:tcPr>
          <w:p w14:paraId="36E3D07F" w14:textId="77777777" w:rsidR="00C2178C" w:rsidRPr="00E502D7" w:rsidRDefault="00C2178C" w:rsidP="00FB0635">
            <w:pPr>
              <w:rPr>
                <w:rFonts w:ascii="Arial Narrow" w:hAnsi="Arial Narrow" w:cs="Arial"/>
                <w:bCs w:val="0"/>
                <w:color w:val="000000"/>
                <w:sz w:val="16"/>
                <w:szCs w:val="16"/>
              </w:rPr>
            </w:pPr>
          </w:p>
        </w:tc>
      </w:tr>
      <w:tr w:rsidR="00C2178C" w:rsidRPr="00E502D7" w14:paraId="12A04A48" w14:textId="77777777" w:rsidTr="00FB0635">
        <w:tblPrEx>
          <w:tblLook w:val="04A0" w:firstRow="1" w:lastRow="0" w:firstColumn="1" w:lastColumn="0" w:noHBand="0" w:noVBand="1"/>
        </w:tblPrEx>
        <w:trPr>
          <w:cantSplit/>
          <w:jc w:val="center"/>
        </w:trPr>
        <w:tc>
          <w:tcPr>
            <w:tcW w:w="1339" w:type="pct"/>
            <w:gridSpan w:val="3"/>
          </w:tcPr>
          <w:p w14:paraId="2AA6D4FA"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Is there any evidence that groups who should benefit do not? i.e. equal opportunity monitoring of service users and/or staff. If none/insufficient local or national data available consider what information you need.</w:t>
            </w:r>
          </w:p>
        </w:tc>
        <w:tc>
          <w:tcPr>
            <w:tcW w:w="1331" w:type="pct"/>
            <w:gridSpan w:val="3"/>
          </w:tcPr>
          <w:p w14:paraId="5D4543B9"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4544064B"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5DB24F46" w14:textId="77777777" w:rsidR="00C2178C" w:rsidRPr="00E502D7" w:rsidRDefault="00C2178C" w:rsidP="00FB0635">
            <w:pPr>
              <w:rPr>
                <w:rFonts w:ascii="Arial Narrow" w:hAnsi="Arial Narrow" w:cs="Arial"/>
                <w:bCs w:val="0"/>
                <w:color w:val="000000"/>
                <w:sz w:val="16"/>
                <w:szCs w:val="16"/>
              </w:rPr>
            </w:pPr>
          </w:p>
        </w:tc>
        <w:tc>
          <w:tcPr>
            <w:tcW w:w="642" w:type="pct"/>
          </w:tcPr>
          <w:p w14:paraId="1C981D14" w14:textId="77777777" w:rsidR="00C2178C" w:rsidRPr="00E502D7" w:rsidRDefault="00C2178C" w:rsidP="00FB0635">
            <w:pPr>
              <w:rPr>
                <w:rFonts w:ascii="Arial Narrow" w:hAnsi="Arial Narrow" w:cs="Arial"/>
                <w:bCs w:val="0"/>
                <w:color w:val="000000"/>
                <w:sz w:val="16"/>
                <w:szCs w:val="16"/>
              </w:rPr>
            </w:pPr>
          </w:p>
        </w:tc>
      </w:tr>
      <w:tr w:rsidR="00C2178C" w:rsidRPr="00E502D7" w14:paraId="6572DBC3" w14:textId="77777777" w:rsidTr="00FB0635">
        <w:tblPrEx>
          <w:tblLook w:val="04A0" w:firstRow="1" w:lastRow="0" w:firstColumn="1" w:lastColumn="0" w:noHBand="0" w:noVBand="1"/>
        </w:tblPrEx>
        <w:trPr>
          <w:cantSplit/>
          <w:jc w:val="center"/>
        </w:trPr>
        <w:tc>
          <w:tcPr>
            <w:tcW w:w="1339" w:type="pct"/>
            <w:gridSpan w:val="3"/>
          </w:tcPr>
          <w:p w14:paraId="2A4E609C"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development/ policy have a negative impact on any geographical or sub group of the population?</w:t>
            </w:r>
          </w:p>
        </w:tc>
        <w:tc>
          <w:tcPr>
            <w:tcW w:w="1331" w:type="pct"/>
            <w:gridSpan w:val="3"/>
          </w:tcPr>
          <w:p w14:paraId="1BDCF9D8"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07699DA7"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79D1BC66" w14:textId="77777777" w:rsidR="00C2178C" w:rsidRPr="00E502D7" w:rsidRDefault="00C2178C" w:rsidP="00FB0635">
            <w:pPr>
              <w:rPr>
                <w:rFonts w:ascii="Arial Narrow" w:hAnsi="Arial Narrow" w:cs="Arial"/>
                <w:bCs w:val="0"/>
                <w:color w:val="000000"/>
                <w:sz w:val="16"/>
                <w:szCs w:val="16"/>
              </w:rPr>
            </w:pPr>
          </w:p>
        </w:tc>
        <w:tc>
          <w:tcPr>
            <w:tcW w:w="642" w:type="pct"/>
          </w:tcPr>
          <w:p w14:paraId="7E357FC0" w14:textId="77777777" w:rsidR="00C2178C" w:rsidRPr="00E502D7" w:rsidRDefault="00C2178C" w:rsidP="00FB0635">
            <w:pPr>
              <w:rPr>
                <w:rFonts w:ascii="Arial Narrow" w:hAnsi="Arial Narrow" w:cs="Arial"/>
                <w:bCs w:val="0"/>
                <w:color w:val="000000"/>
                <w:sz w:val="16"/>
                <w:szCs w:val="16"/>
              </w:rPr>
            </w:pPr>
          </w:p>
        </w:tc>
      </w:tr>
      <w:tr w:rsidR="00C2178C" w:rsidRPr="00E502D7" w14:paraId="50A92C3B" w14:textId="77777777" w:rsidTr="00FB0635">
        <w:tblPrEx>
          <w:tblLook w:val="04A0" w:firstRow="1" w:lastRow="0" w:firstColumn="1" w:lastColumn="0" w:noHBand="0" w:noVBand="1"/>
        </w:tblPrEx>
        <w:trPr>
          <w:cantSplit/>
          <w:jc w:val="center"/>
        </w:trPr>
        <w:tc>
          <w:tcPr>
            <w:tcW w:w="1339" w:type="pct"/>
            <w:gridSpan w:val="3"/>
          </w:tcPr>
          <w:p w14:paraId="0265C127"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How does the service, leaflet or policy/ development promote equality and diversity?</w:t>
            </w:r>
          </w:p>
        </w:tc>
        <w:tc>
          <w:tcPr>
            <w:tcW w:w="1331" w:type="pct"/>
            <w:gridSpan w:val="3"/>
          </w:tcPr>
          <w:p w14:paraId="14AFAB92"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n/a</w:t>
            </w:r>
          </w:p>
        </w:tc>
        <w:tc>
          <w:tcPr>
            <w:tcW w:w="974" w:type="pct"/>
            <w:gridSpan w:val="4"/>
          </w:tcPr>
          <w:p w14:paraId="3255AE93"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1C17002A" w14:textId="77777777" w:rsidR="00C2178C" w:rsidRPr="00E502D7" w:rsidRDefault="00C2178C" w:rsidP="00FB0635">
            <w:pPr>
              <w:rPr>
                <w:rFonts w:ascii="Arial Narrow" w:hAnsi="Arial Narrow" w:cs="Arial"/>
                <w:bCs w:val="0"/>
                <w:color w:val="000000"/>
                <w:sz w:val="16"/>
                <w:szCs w:val="16"/>
              </w:rPr>
            </w:pPr>
          </w:p>
        </w:tc>
        <w:tc>
          <w:tcPr>
            <w:tcW w:w="642" w:type="pct"/>
          </w:tcPr>
          <w:p w14:paraId="396E1F07" w14:textId="77777777" w:rsidR="00C2178C" w:rsidRPr="00E502D7" w:rsidRDefault="00C2178C" w:rsidP="00FB0635">
            <w:pPr>
              <w:rPr>
                <w:rFonts w:ascii="Arial Narrow" w:hAnsi="Arial Narrow" w:cs="Arial"/>
                <w:bCs w:val="0"/>
                <w:color w:val="000000"/>
                <w:sz w:val="16"/>
                <w:szCs w:val="16"/>
              </w:rPr>
            </w:pPr>
          </w:p>
        </w:tc>
      </w:tr>
      <w:tr w:rsidR="00C2178C" w:rsidRPr="00E502D7" w14:paraId="5AF638AF" w14:textId="77777777" w:rsidTr="00FB0635">
        <w:tblPrEx>
          <w:tblLook w:val="04A0" w:firstRow="1" w:lastRow="0" w:firstColumn="1" w:lastColumn="0" w:noHBand="0" w:noVBand="1"/>
        </w:tblPrEx>
        <w:trPr>
          <w:cantSplit/>
          <w:jc w:val="center"/>
        </w:trPr>
        <w:tc>
          <w:tcPr>
            <w:tcW w:w="1339" w:type="pct"/>
            <w:gridSpan w:val="3"/>
          </w:tcPr>
          <w:p w14:paraId="0512A15D"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policy/ development explicitly include a commitment to equality and diversity and meeting needs? How does it demonstrate its impact?</w:t>
            </w:r>
          </w:p>
        </w:tc>
        <w:tc>
          <w:tcPr>
            <w:tcW w:w="1331" w:type="pct"/>
            <w:gridSpan w:val="3"/>
          </w:tcPr>
          <w:p w14:paraId="36C51CAA"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42E98238"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13357DBB" w14:textId="77777777" w:rsidR="00C2178C" w:rsidRPr="00E502D7" w:rsidRDefault="00C2178C" w:rsidP="00FB0635">
            <w:pPr>
              <w:rPr>
                <w:rFonts w:ascii="Arial Narrow" w:hAnsi="Arial Narrow" w:cs="Arial"/>
                <w:bCs w:val="0"/>
                <w:color w:val="000000"/>
                <w:sz w:val="16"/>
                <w:szCs w:val="16"/>
              </w:rPr>
            </w:pPr>
          </w:p>
        </w:tc>
        <w:tc>
          <w:tcPr>
            <w:tcW w:w="642" w:type="pct"/>
          </w:tcPr>
          <w:p w14:paraId="06252B2E" w14:textId="77777777" w:rsidR="00C2178C" w:rsidRPr="00E502D7" w:rsidRDefault="00C2178C" w:rsidP="00FB0635">
            <w:pPr>
              <w:rPr>
                <w:rFonts w:ascii="Arial Narrow" w:hAnsi="Arial Narrow" w:cs="Arial"/>
                <w:bCs w:val="0"/>
                <w:color w:val="000000"/>
                <w:sz w:val="16"/>
                <w:szCs w:val="16"/>
              </w:rPr>
            </w:pPr>
          </w:p>
        </w:tc>
      </w:tr>
      <w:tr w:rsidR="00C2178C" w:rsidRPr="00E502D7" w14:paraId="24474EF8" w14:textId="77777777" w:rsidTr="00FB0635">
        <w:tblPrEx>
          <w:tblLook w:val="04A0" w:firstRow="1" w:lastRow="0" w:firstColumn="1" w:lastColumn="0" w:noHBand="0" w:noVBand="1"/>
        </w:tblPrEx>
        <w:trPr>
          <w:cantSplit/>
          <w:jc w:val="center"/>
        </w:trPr>
        <w:tc>
          <w:tcPr>
            <w:tcW w:w="1339" w:type="pct"/>
            <w:gridSpan w:val="3"/>
          </w:tcPr>
          <w:p w14:paraId="32E97B86"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Organisation or service workforce reflect the local population? Do we employ people from disadvantaged groups</w:t>
            </w:r>
          </w:p>
        </w:tc>
        <w:tc>
          <w:tcPr>
            <w:tcW w:w="1331" w:type="pct"/>
            <w:gridSpan w:val="3"/>
          </w:tcPr>
          <w:p w14:paraId="42349760"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n/a</w:t>
            </w:r>
          </w:p>
        </w:tc>
        <w:tc>
          <w:tcPr>
            <w:tcW w:w="974" w:type="pct"/>
            <w:gridSpan w:val="4"/>
          </w:tcPr>
          <w:p w14:paraId="76A01397"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761C8043" w14:textId="77777777" w:rsidR="00C2178C" w:rsidRPr="00E502D7" w:rsidRDefault="00C2178C" w:rsidP="00FB0635">
            <w:pPr>
              <w:rPr>
                <w:rFonts w:ascii="Arial Narrow" w:hAnsi="Arial Narrow" w:cs="Arial"/>
                <w:bCs w:val="0"/>
                <w:color w:val="000000"/>
                <w:sz w:val="16"/>
                <w:szCs w:val="16"/>
              </w:rPr>
            </w:pPr>
          </w:p>
        </w:tc>
        <w:tc>
          <w:tcPr>
            <w:tcW w:w="642" w:type="pct"/>
          </w:tcPr>
          <w:p w14:paraId="3E7186A5" w14:textId="77777777" w:rsidR="00C2178C" w:rsidRPr="00E502D7" w:rsidRDefault="00C2178C" w:rsidP="00FB0635">
            <w:pPr>
              <w:rPr>
                <w:rFonts w:ascii="Arial Narrow" w:hAnsi="Arial Narrow" w:cs="Arial"/>
                <w:bCs w:val="0"/>
                <w:color w:val="000000"/>
                <w:sz w:val="16"/>
                <w:szCs w:val="16"/>
              </w:rPr>
            </w:pPr>
          </w:p>
        </w:tc>
      </w:tr>
      <w:tr w:rsidR="00C2178C" w:rsidRPr="00E502D7" w14:paraId="5B5B4EF3" w14:textId="77777777" w:rsidTr="00FB0635">
        <w:tblPrEx>
          <w:tblLook w:val="04A0" w:firstRow="1" w:lastRow="0" w:firstColumn="1" w:lastColumn="0" w:noHBand="0" w:noVBand="1"/>
        </w:tblPrEx>
        <w:trPr>
          <w:cantSplit/>
          <w:jc w:val="center"/>
        </w:trPr>
        <w:tc>
          <w:tcPr>
            <w:tcW w:w="1339" w:type="pct"/>
            <w:gridSpan w:val="3"/>
          </w:tcPr>
          <w:p w14:paraId="5EAD5091"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Will the service, leaflet or policy/ development</w:t>
            </w:r>
          </w:p>
          <w:p w14:paraId="39F8A7AA" w14:textId="77777777" w:rsidR="00C2178C" w:rsidRPr="00E502D7" w:rsidRDefault="00C2178C" w:rsidP="00FB0635">
            <w:pPr>
              <w:numPr>
                <w:ilvl w:val="0"/>
                <w:numId w:val="1"/>
              </w:numPr>
              <w:tabs>
                <w:tab w:val="clear" w:pos="1440"/>
                <w:tab w:val="num" w:pos="284"/>
              </w:tabs>
              <w:ind w:left="492" w:hanging="492"/>
              <w:rPr>
                <w:rFonts w:ascii="Arial Narrow" w:hAnsi="Arial Narrow" w:cs="Arial"/>
                <w:bCs w:val="0"/>
                <w:color w:val="000000"/>
                <w:sz w:val="16"/>
                <w:szCs w:val="16"/>
              </w:rPr>
            </w:pPr>
            <w:r w:rsidRPr="00E502D7">
              <w:rPr>
                <w:rFonts w:ascii="Arial Narrow" w:hAnsi="Arial Narrow" w:cs="Arial"/>
                <w:bCs w:val="0"/>
                <w:color w:val="000000"/>
                <w:sz w:val="16"/>
                <w:szCs w:val="16"/>
              </w:rPr>
              <w:t>Improve economic social conditions in</w:t>
            </w:r>
          </w:p>
          <w:p w14:paraId="1344E832" w14:textId="77777777" w:rsidR="00C2178C" w:rsidRPr="00E502D7" w:rsidRDefault="00C2178C" w:rsidP="00FB0635">
            <w:pPr>
              <w:ind w:left="284"/>
              <w:rPr>
                <w:rFonts w:ascii="Arial Narrow" w:hAnsi="Arial Narrow" w:cs="Arial"/>
                <w:bCs w:val="0"/>
                <w:color w:val="000000"/>
                <w:sz w:val="16"/>
                <w:szCs w:val="16"/>
              </w:rPr>
            </w:pPr>
            <w:r w:rsidRPr="00E502D7">
              <w:rPr>
                <w:rFonts w:ascii="Arial Narrow" w:hAnsi="Arial Narrow" w:cs="Arial"/>
                <w:bCs w:val="0"/>
                <w:color w:val="000000"/>
                <w:sz w:val="16"/>
                <w:szCs w:val="16"/>
              </w:rPr>
              <w:t>deprived areas</w:t>
            </w:r>
          </w:p>
          <w:p w14:paraId="558C8BEC" w14:textId="77777777" w:rsidR="00C2178C" w:rsidRPr="00E502D7" w:rsidRDefault="00C2178C" w:rsidP="00FB0635">
            <w:pPr>
              <w:numPr>
                <w:ilvl w:val="0"/>
                <w:numId w:val="1"/>
              </w:numPr>
              <w:tabs>
                <w:tab w:val="clear" w:pos="1440"/>
                <w:tab w:val="num" w:pos="284"/>
              </w:tabs>
              <w:ind w:left="492" w:hanging="492"/>
              <w:rPr>
                <w:rFonts w:ascii="Arial Narrow" w:hAnsi="Arial Narrow" w:cs="Arial"/>
                <w:bCs w:val="0"/>
                <w:color w:val="000000"/>
                <w:sz w:val="16"/>
                <w:szCs w:val="16"/>
              </w:rPr>
            </w:pPr>
            <w:r w:rsidRPr="00E502D7">
              <w:rPr>
                <w:rFonts w:ascii="Arial Narrow" w:hAnsi="Arial Narrow" w:cs="Arial"/>
                <w:bCs w:val="0"/>
                <w:color w:val="000000"/>
                <w:sz w:val="16"/>
                <w:szCs w:val="16"/>
              </w:rPr>
              <w:t>Use brown field sites</w:t>
            </w:r>
          </w:p>
          <w:p w14:paraId="0BE0BAB3" w14:textId="77777777" w:rsidR="00C2178C" w:rsidRPr="00E502D7" w:rsidRDefault="00C2178C" w:rsidP="00FB0635">
            <w:pPr>
              <w:numPr>
                <w:ilvl w:val="0"/>
                <w:numId w:val="1"/>
              </w:numPr>
              <w:tabs>
                <w:tab w:val="clear" w:pos="1440"/>
                <w:tab w:val="num" w:pos="284"/>
              </w:tabs>
              <w:ind w:left="284" w:hanging="284"/>
              <w:rPr>
                <w:rFonts w:ascii="Arial Narrow" w:hAnsi="Arial Narrow" w:cs="Arial"/>
                <w:bCs w:val="0"/>
                <w:color w:val="000000"/>
                <w:sz w:val="16"/>
                <w:szCs w:val="16"/>
              </w:rPr>
            </w:pPr>
            <w:r w:rsidRPr="00E502D7">
              <w:rPr>
                <w:rFonts w:ascii="Arial Narrow" w:hAnsi="Arial Narrow" w:cs="Arial"/>
                <w:bCs w:val="0"/>
                <w:color w:val="000000"/>
                <w:sz w:val="16"/>
                <w:szCs w:val="16"/>
              </w:rPr>
              <w:t>Improve public spaces including creation of green spaces?</w:t>
            </w:r>
          </w:p>
        </w:tc>
        <w:tc>
          <w:tcPr>
            <w:tcW w:w="1331" w:type="pct"/>
            <w:gridSpan w:val="3"/>
          </w:tcPr>
          <w:p w14:paraId="47670FF6"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57DC2D47"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34C1DFA0" w14:textId="77777777" w:rsidR="00C2178C" w:rsidRPr="00E502D7" w:rsidRDefault="00C2178C" w:rsidP="00FB0635">
            <w:pPr>
              <w:rPr>
                <w:rFonts w:ascii="Arial Narrow" w:hAnsi="Arial Narrow" w:cs="Arial"/>
                <w:bCs w:val="0"/>
                <w:color w:val="000000"/>
                <w:sz w:val="16"/>
                <w:szCs w:val="16"/>
              </w:rPr>
            </w:pPr>
          </w:p>
        </w:tc>
        <w:tc>
          <w:tcPr>
            <w:tcW w:w="642" w:type="pct"/>
          </w:tcPr>
          <w:p w14:paraId="0CACC702" w14:textId="77777777" w:rsidR="00C2178C" w:rsidRPr="00E502D7" w:rsidRDefault="00C2178C" w:rsidP="00FB0635">
            <w:pPr>
              <w:rPr>
                <w:rFonts w:ascii="Arial Narrow" w:hAnsi="Arial Narrow" w:cs="Arial"/>
                <w:bCs w:val="0"/>
                <w:color w:val="000000"/>
                <w:sz w:val="16"/>
                <w:szCs w:val="16"/>
              </w:rPr>
            </w:pPr>
          </w:p>
        </w:tc>
      </w:tr>
      <w:tr w:rsidR="00C2178C" w:rsidRPr="00E502D7" w14:paraId="50E93F0D" w14:textId="77777777" w:rsidTr="00FB0635">
        <w:tblPrEx>
          <w:tblLook w:val="04A0" w:firstRow="1" w:lastRow="0" w:firstColumn="1" w:lastColumn="0" w:noHBand="0" w:noVBand="1"/>
        </w:tblPrEx>
        <w:trPr>
          <w:cantSplit/>
          <w:jc w:val="center"/>
        </w:trPr>
        <w:tc>
          <w:tcPr>
            <w:tcW w:w="1339" w:type="pct"/>
            <w:gridSpan w:val="3"/>
          </w:tcPr>
          <w:p w14:paraId="58F09518"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policy/ development promote equity of lifelong learning?</w:t>
            </w:r>
          </w:p>
        </w:tc>
        <w:tc>
          <w:tcPr>
            <w:tcW w:w="1331" w:type="pct"/>
            <w:gridSpan w:val="3"/>
          </w:tcPr>
          <w:p w14:paraId="2094AB3D"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0279FDC2"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1D08B09A" w14:textId="77777777" w:rsidR="00C2178C" w:rsidRPr="00E502D7" w:rsidRDefault="00C2178C" w:rsidP="00FB0635">
            <w:pPr>
              <w:rPr>
                <w:rFonts w:ascii="Arial Narrow" w:hAnsi="Arial Narrow" w:cs="Arial"/>
                <w:bCs w:val="0"/>
                <w:color w:val="000000"/>
                <w:sz w:val="16"/>
                <w:szCs w:val="16"/>
              </w:rPr>
            </w:pPr>
          </w:p>
        </w:tc>
        <w:tc>
          <w:tcPr>
            <w:tcW w:w="642" w:type="pct"/>
          </w:tcPr>
          <w:p w14:paraId="716BD578" w14:textId="77777777" w:rsidR="00C2178C" w:rsidRPr="00E502D7" w:rsidRDefault="00C2178C" w:rsidP="00FB0635">
            <w:pPr>
              <w:rPr>
                <w:rFonts w:ascii="Arial Narrow" w:hAnsi="Arial Narrow" w:cs="Arial"/>
                <w:bCs w:val="0"/>
                <w:color w:val="000000"/>
                <w:sz w:val="16"/>
                <w:szCs w:val="16"/>
              </w:rPr>
            </w:pPr>
          </w:p>
        </w:tc>
      </w:tr>
      <w:tr w:rsidR="00C2178C" w:rsidRPr="00E502D7" w14:paraId="259D60BD" w14:textId="77777777" w:rsidTr="00FB0635">
        <w:tblPrEx>
          <w:tblLook w:val="04A0" w:firstRow="1" w:lastRow="0" w:firstColumn="1" w:lastColumn="0" w:noHBand="0" w:noVBand="1"/>
        </w:tblPrEx>
        <w:trPr>
          <w:cantSplit/>
          <w:jc w:val="center"/>
        </w:trPr>
        <w:tc>
          <w:tcPr>
            <w:tcW w:w="1339" w:type="pct"/>
            <w:gridSpan w:val="3"/>
          </w:tcPr>
          <w:p w14:paraId="1F24A347"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policy/ development encourage healthy lifestyles and reduce risks to health?</w:t>
            </w:r>
          </w:p>
        </w:tc>
        <w:tc>
          <w:tcPr>
            <w:tcW w:w="1331" w:type="pct"/>
            <w:gridSpan w:val="3"/>
          </w:tcPr>
          <w:p w14:paraId="5B988E31"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0693DEDF"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71D9C828" w14:textId="77777777" w:rsidR="00C2178C" w:rsidRPr="00E502D7" w:rsidRDefault="00C2178C" w:rsidP="00FB0635">
            <w:pPr>
              <w:rPr>
                <w:rFonts w:ascii="Arial Narrow" w:hAnsi="Arial Narrow" w:cs="Arial"/>
                <w:bCs w:val="0"/>
                <w:color w:val="000000"/>
                <w:sz w:val="16"/>
                <w:szCs w:val="16"/>
              </w:rPr>
            </w:pPr>
          </w:p>
        </w:tc>
        <w:tc>
          <w:tcPr>
            <w:tcW w:w="642" w:type="pct"/>
          </w:tcPr>
          <w:p w14:paraId="4AE09ABF" w14:textId="77777777" w:rsidR="00C2178C" w:rsidRPr="00E502D7" w:rsidRDefault="00C2178C" w:rsidP="00FB0635">
            <w:pPr>
              <w:rPr>
                <w:rFonts w:ascii="Arial Narrow" w:hAnsi="Arial Narrow" w:cs="Arial"/>
                <w:bCs w:val="0"/>
                <w:color w:val="000000"/>
                <w:sz w:val="16"/>
                <w:szCs w:val="16"/>
              </w:rPr>
            </w:pPr>
          </w:p>
        </w:tc>
      </w:tr>
      <w:tr w:rsidR="00C2178C" w:rsidRPr="00E502D7" w14:paraId="5E5E5C50" w14:textId="77777777" w:rsidTr="00FB0635">
        <w:tblPrEx>
          <w:tblLook w:val="04A0" w:firstRow="1" w:lastRow="0" w:firstColumn="1" w:lastColumn="0" w:noHBand="0" w:noVBand="1"/>
        </w:tblPrEx>
        <w:trPr>
          <w:cantSplit/>
          <w:jc w:val="center"/>
        </w:trPr>
        <w:tc>
          <w:tcPr>
            <w:tcW w:w="1339" w:type="pct"/>
            <w:gridSpan w:val="3"/>
          </w:tcPr>
          <w:p w14:paraId="2194F3DA"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policy/ development impact on transport?</w:t>
            </w:r>
          </w:p>
          <w:p w14:paraId="6A5BA6B8"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What are the implications of this?</w:t>
            </w:r>
          </w:p>
        </w:tc>
        <w:tc>
          <w:tcPr>
            <w:tcW w:w="1331" w:type="pct"/>
            <w:gridSpan w:val="3"/>
          </w:tcPr>
          <w:p w14:paraId="5917C758"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00476765"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4E563ACC" w14:textId="77777777" w:rsidR="00C2178C" w:rsidRPr="00E502D7" w:rsidRDefault="00C2178C" w:rsidP="00FB0635">
            <w:pPr>
              <w:rPr>
                <w:rFonts w:ascii="Arial Narrow" w:hAnsi="Arial Narrow" w:cs="Arial"/>
                <w:bCs w:val="0"/>
                <w:color w:val="000000"/>
                <w:sz w:val="16"/>
                <w:szCs w:val="16"/>
              </w:rPr>
            </w:pPr>
          </w:p>
        </w:tc>
        <w:tc>
          <w:tcPr>
            <w:tcW w:w="642" w:type="pct"/>
          </w:tcPr>
          <w:p w14:paraId="5D1A8B49" w14:textId="77777777" w:rsidR="00C2178C" w:rsidRPr="00E502D7" w:rsidRDefault="00C2178C" w:rsidP="00FB0635">
            <w:pPr>
              <w:rPr>
                <w:rFonts w:ascii="Arial Narrow" w:hAnsi="Arial Narrow" w:cs="Arial"/>
                <w:bCs w:val="0"/>
                <w:color w:val="000000"/>
                <w:sz w:val="16"/>
                <w:szCs w:val="16"/>
              </w:rPr>
            </w:pPr>
          </w:p>
        </w:tc>
      </w:tr>
      <w:tr w:rsidR="00C2178C" w:rsidRPr="00E502D7" w14:paraId="0EF0D950" w14:textId="77777777" w:rsidTr="00FB0635">
        <w:tblPrEx>
          <w:tblLook w:val="04A0" w:firstRow="1" w:lastRow="0" w:firstColumn="1" w:lastColumn="0" w:noHBand="0" w:noVBand="1"/>
        </w:tblPrEx>
        <w:trPr>
          <w:cantSplit/>
          <w:jc w:val="center"/>
        </w:trPr>
        <w:tc>
          <w:tcPr>
            <w:tcW w:w="1339" w:type="pct"/>
            <w:gridSpan w:val="3"/>
          </w:tcPr>
          <w:p w14:paraId="65085F5F" w14:textId="77777777" w:rsidR="00C2178C" w:rsidRPr="00E502D7" w:rsidRDefault="00C2178C" w:rsidP="00FB0635">
            <w:pPr>
              <w:rPr>
                <w:rFonts w:ascii="Arial Narrow" w:hAnsi="Arial Narrow" w:cs="Arial"/>
                <w:bCs w:val="0"/>
                <w:color w:val="000000"/>
                <w:sz w:val="16"/>
                <w:szCs w:val="16"/>
              </w:rPr>
            </w:pPr>
            <w:r w:rsidRPr="00E502D7">
              <w:rPr>
                <w:rFonts w:ascii="Arial Narrow" w:hAnsi="Arial Narrow" w:cs="Arial"/>
                <w:bCs w:val="0"/>
                <w:color w:val="000000"/>
                <w:sz w:val="16"/>
                <w:szCs w:val="16"/>
              </w:rPr>
              <w:t>Does the service, leaflet or policy/development impact on housing, housing needs, homelessness, or a person’s ability to remain at home?</w:t>
            </w:r>
          </w:p>
        </w:tc>
        <w:tc>
          <w:tcPr>
            <w:tcW w:w="1331" w:type="pct"/>
            <w:gridSpan w:val="3"/>
          </w:tcPr>
          <w:p w14:paraId="0D3FB873" w14:textId="77777777" w:rsidR="00C2178C" w:rsidRPr="00E502D7" w:rsidRDefault="00C2178C" w:rsidP="00FB0635">
            <w:pPr>
              <w:rPr>
                <w:rFonts w:ascii="Arial Narrow" w:hAnsi="Arial Narrow" w:cs="Arial"/>
                <w:bCs w:val="0"/>
                <w:color w:val="000000"/>
                <w:sz w:val="16"/>
                <w:szCs w:val="16"/>
              </w:rPr>
            </w:pPr>
            <w:r>
              <w:rPr>
                <w:rFonts w:ascii="Arial Narrow" w:hAnsi="Arial Narrow" w:cs="Arial"/>
                <w:bCs w:val="0"/>
                <w:color w:val="000000"/>
                <w:sz w:val="16"/>
                <w:szCs w:val="16"/>
              </w:rPr>
              <w:t>No</w:t>
            </w:r>
          </w:p>
        </w:tc>
        <w:tc>
          <w:tcPr>
            <w:tcW w:w="974" w:type="pct"/>
            <w:gridSpan w:val="4"/>
          </w:tcPr>
          <w:p w14:paraId="6093CDB2" w14:textId="77777777" w:rsidR="00C2178C" w:rsidRPr="00E502D7" w:rsidRDefault="00C2178C" w:rsidP="00FB0635">
            <w:pPr>
              <w:rPr>
                <w:rFonts w:ascii="Arial Narrow" w:hAnsi="Arial Narrow" w:cs="Arial"/>
                <w:bCs w:val="0"/>
                <w:color w:val="000000"/>
                <w:sz w:val="16"/>
                <w:szCs w:val="16"/>
              </w:rPr>
            </w:pPr>
          </w:p>
        </w:tc>
        <w:tc>
          <w:tcPr>
            <w:tcW w:w="714" w:type="pct"/>
            <w:gridSpan w:val="4"/>
          </w:tcPr>
          <w:p w14:paraId="21470F2A" w14:textId="77777777" w:rsidR="00C2178C" w:rsidRPr="00E502D7" w:rsidRDefault="00C2178C" w:rsidP="00FB0635">
            <w:pPr>
              <w:rPr>
                <w:rFonts w:ascii="Arial Narrow" w:hAnsi="Arial Narrow" w:cs="Arial"/>
                <w:bCs w:val="0"/>
                <w:color w:val="000000"/>
                <w:sz w:val="16"/>
                <w:szCs w:val="16"/>
              </w:rPr>
            </w:pPr>
          </w:p>
        </w:tc>
        <w:tc>
          <w:tcPr>
            <w:tcW w:w="642" w:type="pct"/>
          </w:tcPr>
          <w:p w14:paraId="3E1D8E82" w14:textId="77777777" w:rsidR="00C2178C" w:rsidRPr="00E502D7" w:rsidRDefault="00C2178C" w:rsidP="00FB0635">
            <w:pPr>
              <w:rPr>
                <w:rFonts w:ascii="Arial Narrow" w:hAnsi="Arial Narrow" w:cs="Arial"/>
                <w:bCs w:val="0"/>
                <w:color w:val="000000"/>
                <w:sz w:val="16"/>
                <w:szCs w:val="16"/>
              </w:rPr>
            </w:pPr>
          </w:p>
        </w:tc>
      </w:tr>
      <w:tr w:rsidR="00C2178C" w:rsidRPr="00E502D7" w14:paraId="19F6E84D" w14:textId="77777777" w:rsidTr="00FB0635">
        <w:tblPrEx>
          <w:tblLook w:val="04A0" w:firstRow="1" w:lastRow="0" w:firstColumn="1" w:lastColumn="0" w:noHBand="0" w:noVBand="1"/>
        </w:tblPrEx>
        <w:trPr>
          <w:cantSplit/>
          <w:jc w:val="center"/>
        </w:trPr>
        <w:tc>
          <w:tcPr>
            <w:tcW w:w="1339" w:type="pct"/>
            <w:gridSpan w:val="3"/>
            <w:tcBorders>
              <w:bottom w:val="single" w:sz="4" w:space="0" w:color="000000"/>
            </w:tcBorders>
          </w:tcPr>
          <w:p w14:paraId="48CD7B7F" w14:textId="77777777" w:rsidR="00C2178C" w:rsidRPr="00E502D7" w:rsidRDefault="00C2178C" w:rsidP="00FB0635">
            <w:pPr>
              <w:rPr>
                <w:rFonts w:ascii="Arial Narrow" w:hAnsi="Arial Narrow" w:cs="Arial"/>
                <w:bCs w:val="0"/>
                <w:sz w:val="16"/>
                <w:szCs w:val="16"/>
              </w:rPr>
            </w:pPr>
            <w:r w:rsidRPr="00E502D7">
              <w:rPr>
                <w:bCs w:val="0"/>
                <w:color w:val="000000"/>
                <w:sz w:val="36"/>
              </w:rPr>
              <w:br w:type="page"/>
            </w:r>
            <w:r w:rsidRPr="00E502D7">
              <w:rPr>
                <w:rFonts w:ascii="Arial Narrow" w:hAnsi="Arial Narrow" w:cs="Arial"/>
                <w:bCs w:val="0"/>
                <w:sz w:val="16"/>
                <w:szCs w:val="16"/>
              </w:rPr>
              <w:t>Are there any groups for whom this policy/ service/leaflet would have an impact? Is it an adverse/negative impact? Does it or could it (or is the perception that it could exclude disadvantaged or marginalised groups?</w:t>
            </w:r>
          </w:p>
        </w:tc>
        <w:tc>
          <w:tcPr>
            <w:tcW w:w="1331" w:type="pct"/>
            <w:gridSpan w:val="3"/>
            <w:tcBorders>
              <w:bottom w:val="single" w:sz="4" w:space="0" w:color="000000"/>
            </w:tcBorders>
          </w:tcPr>
          <w:p w14:paraId="0E07A223" w14:textId="77777777" w:rsidR="00C2178C" w:rsidRPr="00E502D7" w:rsidRDefault="00C2178C" w:rsidP="00FB0635">
            <w:pPr>
              <w:rPr>
                <w:rFonts w:ascii="Arial Narrow" w:hAnsi="Arial Narrow" w:cs="Arial"/>
                <w:bCs w:val="0"/>
                <w:sz w:val="16"/>
                <w:szCs w:val="16"/>
              </w:rPr>
            </w:pPr>
            <w:r>
              <w:rPr>
                <w:rFonts w:ascii="Arial Narrow" w:hAnsi="Arial Narrow" w:cs="Arial"/>
                <w:bCs w:val="0"/>
                <w:sz w:val="16"/>
                <w:szCs w:val="16"/>
              </w:rPr>
              <w:t>No</w:t>
            </w:r>
          </w:p>
        </w:tc>
        <w:tc>
          <w:tcPr>
            <w:tcW w:w="974" w:type="pct"/>
            <w:gridSpan w:val="4"/>
            <w:tcBorders>
              <w:bottom w:val="single" w:sz="4" w:space="0" w:color="000000"/>
            </w:tcBorders>
          </w:tcPr>
          <w:p w14:paraId="55E3DAE0" w14:textId="77777777" w:rsidR="00C2178C" w:rsidRPr="00E502D7" w:rsidRDefault="00C2178C" w:rsidP="00FB0635">
            <w:pPr>
              <w:rPr>
                <w:rFonts w:ascii="Arial Narrow" w:hAnsi="Arial Narrow" w:cs="Arial"/>
                <w:bCs w:val="0"/>
                <w:sz w:val="16"/>
                <w:szCs w:val="16"/>
              </w:rPr>
            </w:pPr>
          </w:p>
        </w:tc>
        <w:tc>
          <w:tcPr>
            <w:tcW w:w="714" w:type="pct"/>
            <w:gridSpan w:val="4"/>
            <w:tcBorders>
              <w:bottom w:val="single" w:sz="4" w:space="0" w:color="000000"/>
            </w:tcBorders>
          </w:tcPr>
          <w:p w14:paraId="2150AC20" w14:textId="77777777" w:rsidR="00C2178C" w:rsidRPr="00E502D7" w:rsidRDefault="00C2178C" w:rsidP="00FB0635">
            <w:pPr>
              <w:rPr>
                <w:rFonts w:ascii="Arial Narrow" w:hAnsi="Arial Narrow" w:cs="Arial"/>
                <w:bCs w:val="0"/>
                <w:sz w:val="16"/>
                <w:szCs w:val="16"/>
              </w:rPr>
            </w:pPr>
          </w:p>
        </w:tc>
        <w:tc>
          <w:tcPr>
            <w:tcW w:w="642" w:type="pct"/>
            <w:tcBorders>
              <w:bottom w:val="single" w:sz="4" w:space="0" w:color="000000"/>
            </w:tcBorders>
          </w:tcPr>
          <w:p w14:paraId="2EE81EEB" w14:textId="77777777" w:rsidR="00C2178C" w:rsidRPr="00E502D7" w:rsidRDefault="00C2178C" w:rsidP="00FB0635">
            <w:pPr>
              <w:rPr>
                <w:rFonts w:ascii="Arial Narrow" w:hAnsi="Arial Narrow" w:cs="Arial"/>
                <w:bCs w:val="0"/>
                <w:sz w:val="16"/>
                <w:szCs w:val="16"/>
              </w:rPr>
            </w:pPr>
          </w:p>
        </w:tc>
      </w:tr>
      <w:tr w:rsidR="00C2178C" w:rsidRPr="00E502D7" w14:paraId="27B9C4C9" w14:textId="77777777" w:rsidTr="00FB0635">
        <w:tblPrEx>
          <w:tblLook w:val="04A0" w:firstRow="1" w:lastRow="0" w:firstColumn="1" w:lastColumn="0" w:noHBand="0" w:noVBand="1"/>
        </w:tblPrEx>
        <w:trPr>
          <w:cantSplit/>
          <w:jc w:val="center"/>
        </w:trPr>
        <w:tc>
          <w:tcPr>
            <w:tcW w:w="1339" w:type="pct"/>
            <w:gridSpan w:val="3"/>
            <w:tcBorders>
              <w:bottom w:val="single" w:sz="4" w:space="0" w:color="000000"/>
            </w:tcBorders>
          </w:tcPr>
          <w:p w14:paraId="303A9E07" w14:textId="77777777" w:rsidR="00C2178C" w:rsidRPr="00E502D7" w:rsidRDefault="00C2178C" w:rsidP="00FB0635">
            <w:pPr>
              <w:rPr>
                <w:rFonts w:ascii="Arial Narrow" w:hAnsi="Arial Narrow"/>
                <w:bCs w:val="0"/>
                <w:color w:val="000000"/>
                <w:sz w:val="16"/>
                <w:szCs w:val="16"/>
              </w:rPr>
            </w:pPr>
            <w:r w:rsidRPr="00E502D7">
              <w:rPr>
                <w:rFonts w:ascii="Arial Narrow" w:hAnsi="Arial Narrow"/>
                <w:bCs w:val="0"/>
                <w:color w:val="000000"/>
                <w:sz w:val="16"/>
                <w:szCs w:val="16"/>
              </w:rPr>
              <w:t>Does the policy/development promote access to services and facilities for any group in particular?</w:t>
            </w:r>
          </w:p>
        </w:tc>
        <w:tc>
          <w:tcPr>
            <w:tcW w:w="1331" w:type="pct"/>
            <w:gridSpan w:val="3"/>
            <w:tcBorders>
              <w:bottom w:val="single" w:sz="4" w:space="0" w:color="000000"/>
            </w:tcBorders>
          </w:tcPr>
          <w:p w14:paraId="53CD3408" w14:textId="77777777" w:rsidR="00C2178C" w:rsidRPr="00E502D7" w:rsidRDefault="00C2178C" w:rsidP="00FB0635">
            <w:pPr>
              <w:rPr>
                <w:rFonts w:ascii="Arial Narrow" w:hAnsi="Arial Narrow" w:cs="Arial"/>
                <w:bCs w:val="0"/>
                <w:sz w:val="16"/>
                <w:szCs w:val="16"/>
              </w:rPr>
            </w:pPr>
            <w:r>
              <w:rPr>
                <w:rFonts w:ascii="Arial Narrow" w:hAnsi="Arial Narrow" w:cs="Arial"/>
                <w:bCs w:val="0"/>
                <w:sz w:val="16"/>
                <w:szCs w:val="16"/>
              </w:rPr>
              <w:t>No</w:t>
            </w:r>
          </w:p>
        </w:tc>
        <w:tc>
          <w:tcPr>
            <w:tcW w:w="974" w:type="pct"/>
            <w:gridSpan w:val="4"/>
            <w:tcBorders>
              <w:bottom w:val="single" w:sz="4" w:space="0" w:color="000000"/>
            </w:tcBorders>
          </w:tcPr>
          <w:p w14:paraId="0251E74F" w14:textId="77777777" w:rsidR="00C2178C" w:rsidRPr="00E502D7" w:rsidRDefault="00C2178C" w:rsidP="00FB0635">
            <w:pPr>
              <w:rPr>
                <w:rFonts w:ascii="Arial Narrow" w:hAnsi="Arial Narrow" w:cs="Arial"/>
                <w:bCs w:val="0"/>
                <w:sz w:val="16"/>
                <w:szCs w:val="16"/>
              </w:rPr>
            </w:pPr>
          </w:p>
        </w:tc>
        <w:tc>
          <w:tcPr>
            <w:tcW w:w="714" w:type="pct"/>
            <w:gridSpan w:val="4"/>
            <w:tcBorders>
              <w:bottom w:val="single" w:sz="4" w:space="0" w:color="000000"/>
            </w:tcBorders>
          </w:tcPr>
          <w:p w14:paraId="1B23715B" w14:textId="77777777" w:rsidR="00C2178C" w:rsidRPr="00E502D7" w:rsidRDefault="00C2178C" w:rsidP="00FB0635">
            <w:pPr>
              <w:rPr>
                <w:rFonts w:ascii="Arial Narrow" w:hAnsi="Arial Narrow" w:cs="Arial"/>
                <w:bCs w:val="0"/>
                <w:sz w:val="16"/>
                <w:szCs w:val="16"/>
              </w:rPr>
            </w:pPr>
          </w:p>
        </w:tc>
        <w:tc>
          <w:tcPr>
            <w:tcW w:w="642" w:type="pct"/>
            <w:tcBorders>
              <w:bottom w:val="single" w:sz="4" w:space="0" w:color="000000"/>
            </w:tcBorders>
          </w:tcPr>
          <w:p w14:paraId="39C0779E" w14:textId="77777777" w:rsidR="00C2178C" w:rsidRPr="00E502D7" w:rsidRDefault="00C2178C" w:rsidP="00FB0635">
            <w:pPr>
              <w:rPr>
                <w:rFonts w:ascii="Arial Narrow" w:hAnsi="Arial Narrow" w:cs="Arial"/>
                <w:bCs w:val="0"/>
                <w:sz w:val="16"/>
                <w:szCs w:val="16"/>
              </w:rPr>
            </w:pPr>
          </w:p>
        </w:tc>
      </w:tr>
      <w:tr w:rsidR="00C2178C" w:rsidRPr="00E502D7" w14:paraId="598E98A7" w14:textId="77777777" w:rsidTr="00FB0635">
        <w:tblPrEx>
          <w:tblLook w:val="04A0" w:firstRow="1" w:lastRow="0" w:firstColumn="1" w:lastColumn="0" w:noHBand="0" w:noVBand="1"/>
        </w:tblPrEx>
        <w:trPr>
          <w:cantSplit/>
          <w:jc w:val="center"/>
        </w:trPr>
        <w:tc>
          <w:tcPr>
            <w:tcW w:w="1339" w:type="pct"/>
            <w:gridSpan w:val="3"/>
            <w:tcBorders>
              <w:bottom w:val="single" w:sz="4" w:space="0" w:color="000000"/>
            </w:tcBorders>
          </w:tcPr>
          <w:p w14:paraId="1CBF2B70" w14:textId="77777777" w:rsidR="00C2178C" w:rsidRPr="00E502D7" w:rsidRDefault="00C2178C" w:rsidP="00FB0635">
            <w:pPr>
              <w:rPr>
                <w:rFonts w:ascii="Arial Narrow" w:hAnsi="Arial Narrow"/>
                <w:bCs w:val="0"/>
                <w:color w:val="000000"/>
                <w:sz w:val="16"/>
                <w:szCs w:val="16"/>
              </w:rPr>
            </w:pPr>
            <w:r w:rsidRPr="00E502D7">
              <w:rPr>
                <w:rFonts w:ascii="Arial Narrow" w:hAnsi="Arial Narrow"/>
                <w:bCs w:val="0"/>
                <w:color w:val="000000"/>
                <w:sz w:val="16"/>
                <w:szCs w:val="16"/>
              </w:rPr>
              <w:lastRenderedPageBreak/>
              <w:t>Does the service, leaflet or policy/development impact on the environment</w:t>
            </w:r>
          </w:p>
          <w:p w14:paraId="6CF2280C" w14:textId="77777777" w:rsidR="00C2178C" w:rsidRPr="00E502D7" w:rsidRDefault="00C2178C" w:rsidP="00FB0635">
            <w:pPr>
              <w:numPr>
                <w:ilvl w:val="0"/>
                <w:numId w:val="16"/>
              </w:numPr>
              <w:spacing w:before="120" w:after="120"/>
              <w:rPr>
                <w:rFonts w:ascii="Arial Narrow" w:hAnsi="Arial Narrow"/>
                <w:bCs w:val="0"/>
                <w:color w:val="000000"/>
                <w:sz w:val="16"/>
                <w:szCs w:val="16"/>
              </w:rPr>
            </w:pPr>
            <w:r w:rsidRPr="00E502D7">
              <w:rPr>
                <w:rFonts w:ascii="Arial Narrow" w:hAnsi="Arial Narrow"/>
                <w:bCs w:val="0"/>
                <w:color w:val="000000"/>
                <w:sz w:val="16"/>
                <w:szCs w:val="16"/>
              </w:rPr>
              <w:t>During development</w:t>
            </w:r>
          </w:p>
          <w:p w14:paraId="20F755B0" w14:textId="77777777" w:rsidR="00C2178C" w:rsidRPr="00E502D7" w:rsidRDefault="00C2178C" w:rsidP="00FB0635">
            <w:pPr>
              <w:numPr>
                <w:ilvl w:val="0"/>
                <w:numId w:val="16"/>
              </w:numPr>
              <w:spacing w:before="120" w:after="120"/>
              <w:rPr>
                <w:rFonts w:ascii="Arial Narrow" w:hAnsi="Arial Narrow"/>
                <w:bCs w:val="0"/>
                <w:color w:val="000000"/>
                <w:sz w:val="16"/>
                <w:szCs w:val="16"/>
              </w:rPr>
            </w:pPr>
            <w:r w:rsidRPr="00E502D7">
              <w:rPr>
                <w:rFonts w:ascii="Arial Narrow" w:hAnsi="Arial Narrow"/>
                <w:bCs w:val="0"/>
                <w:color w:val="000000"/>
                <w:sz w:val="16"/>
                <w:szCs w:val="16"/>
              </w:rPr>
              <w:t>At implementation?</w:t>
            </w:r>
          </w:p>
        </w:tc>
        <w:tc>
          <w:tcPr>
            <w:tcW w:w="1331" w:type="pct"/>
            <w:gridSpan w:val="3"/>
            <w:tcBorders>
              <w:bottom w:val="single" w:sz="4" w:space="0" w:color="000000"/>
            </w:tcBorders>
          </w:tcPr>
          <w:p w14:paraId="4B9F0832" w14:textId="77777777" w:rsidR="00C2178C" w:rsidRPr="00E502D7" w:rsidRDefault="00C2178C" w:rsidP="00FB0635">
            <w:pPr>
              <w:rPr>
                <w:rFonts w:ascii="Arial Narrow" w:hAnsi="Arial Narrow" w:cs="Arial"/>
                <w:bCs w:val="0"/>
                <w:sz w:val="16"/>
                <w:szCs w:val="16"/>
              </w:rPr>
            </w:pPr>
            <w:r>
              <w:rPr>
                <w:rFonts w:ascii="Arial Narrow" w:hAnsi="Arial Narrow" w:cs="Arial"/>
                <w:bCs w:val="0"/>
                <w:sz w:val="16"/>
                <w:szCs w:val="16"/>
              </w:rPr>
              <w:t>No</w:t>
            </w:r>
          </w:p>
        </w:tc>
        <w:tc>
          <w:tcPr>
            <w:tcW w:w="974" w:type="pct"/>
            <w:gridSpan w:val="4"/>
            <w:tcBorders>
              <w:bottom w:val="single" w:sz="4" w:space="0" w:color="000000"/>
            </w:tcBorders>
          </w:tcPr>
          <w:p w14:paraId="2F0A360A" w14:textId="77777777" w:rsidR="00C2178C" w:rsidRPr="00E502D7" w:rsidRDefault="00C2178C" w:rsidP="00FB0635">
            <w:pPr>
              <w:rPr>
                <w:rFonts w:ascii="Arial Narrow" w:hAnsi="Arial Narrow" w:cs="Arial"/>
                <w:bCs w:val="0"/>
                <w:sz w:val="16"/>
                <w:szCs w:val="16"/>
              </w:rPr>
            </w:pPr>
          </w:p>
        </w:tc>
        <w:tc>
          <w:tcPr>
            <w:tcW w:w="714" w:type="pct"/>
            <w:gridSpan w:val="4"/>
            <w:tcBorders>
              <w:bottom w:val="single" w:sz="4" w:space="0" w:color="000000"/>
            </w:tcBorders>
          </w:tcPr>
          <w:p w14:paraId="35C7E93D" w14:textId="77777777" w:rsidR="00C2178C" w:rsidRPr="00E502D7" w:rsidRDefault="00C2178C" w:rsidP="00FB0635">
            <w:pPr>
              <w:rPr>
                <w:rFonts w:ascii="Arial Narrow" w:hAnsi="Arial Narrow" w:cs="Arial"/>
                <w:bCs w:val="0"/>
                <w:sz w:val="16"/>
                <w:szCs w:val="16"/>
              </w:rPr>
            </w:pPr>
          </w:p>
        </w:tc>
        <w:tc>
          <w:tcPr>
            <w:tcW w:w="642" w:type="pct"/>
            <w:tcBorders>
              <w:bottom w:val="single" w:sz="4" w:space="0" w:color="000000"/>
            </w:tcBorders>
          </w:tcPr>
          <w:p w14:paraId="514B8733" w14:textId="77777777" w:rsidR="00C2178C" w:rsidRPr="00E502D7" w:rsidRDefault="00C2178C" w:rsidP="00FB0635">
            <w:pPr>
              <w:rPr>
                <w:rFonts w:ascii="Arial Narrow" w:hAnsi="Arial Narrow" w:cs="Arial"/>
                <w:bCs w:val="0"/>
                <w:sz w:val="16"/>
                <w:szCs w:val="16"/>
              </w:rPr>
            </w:pPr>
          </w:p>
        </w:tc>
      </w:tr>
      <w:tr w:rsidR="00C2178C" w:rsidRPr="00E502D7" w14:paraId="15672F60" w14:textId="77777777" w:rsidTr="00FB0635">
        <w:tblPrEx>
          <w:tblLook w:val="04A0" w:firstRow="1" w:lastRow="0" w:firstColumn="1" w:lastColumn="0" w:noHBand="0" w:noVBand="1"/>
        </w:tblPrEx>
        <w:trPr>
          <w:cantSplit/>
          <w:jc w:val="center"/>
        </w:trPr>
        <w:tc>
          <w:tcPr>
            <w:tcW w:w="5000" w:type="pct"/>
            <w:gridSpan w:val="15"/>
            <w:shd w:val="clear" w:color="auto" w:fill="D9D9D9"/>
          </w:tcPr>
          <w:p w14:paraId="4E831270" w14:textId="77777777" w:rsidR="00C2178C" w:rsidRPr="00E502D7" w:rsidRDefault="00C2178C" w:rsidP="00FB0635">
            <w:pPr>
              <w:jc w:val="center"/>
              <w:rPr>
                <w:rFonts w:cs="Arial"/>
                <w:b/>
                <w:bCs w:val="0"/>
                <w:sz w:val="18"/>
                <w:szCs w:val="18"/>
              </w:rPr>
            </w:pPr>
            <w:r w:rsidRPr="00E502D7">
              <w:rPr>
                <w:rFonts w:cs="Arial"/>
                <w:b/>
                <w:bCs w:val="0"/>
                <w:sz w:val="18"/>
                <w:szCs w:val="18"/>
              </w:rPr>
              <w:t>ACTION:</w:t>
            </w:r>
          </w:p>
        </w:tc>
      </w:tr>
      <w:tr w:rsidR="00C2178C" w:rsidRPr="00E502D7" w14:paraId="3C83406E" w14:textId="77777777" w:rsidTr="00FB0635">
        <w:tblPrEx>
          <w:tblLook w:val="04A0" w:firstRow="1" w:lastRow="0" w:firstColumn="1" w:lastColumn="0" w:noHBand="0" w:noVBand="1"/>
        </w:tblPrEx>
        <w:trPr>
          <w:cantSplit/>
          <w:jc w:val="center"/>
        </w:trPr>
        <w:tc>
          <w:tcPr>
            <w:tcW w:w="2674" w:type="pct"/>
            <w:gridSpan w:val="7"/>
            <w:tcBorders>
              <w:right w:val="single" w:sz="4" w:space="0" w:color="auto"/>
            </w:tcBorders>
          </w:tcPr>
          <w:p w14:paraId="329143CD"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Please identify if you are now required to carry out a Full Equality Analysis</w:t>
            </w:r>
          </w:p>
        </w:tc>
        <w:tc>
          <w:tcPr>
            <w:tcW w:w="644" w:type="pct"/>
            <w:gridSpan w:val="2"/>
            <w:tcBorders>
              <w:left w:val="single" w:sz="4" w:space="0" w:color="auto"/>
            </w:tcBorders>
          </w:tcPr>
          <w:p w14:paraId="09E2E5B8" w14:textId="77777777" w:rsidR="00C2178C" w:rsidRPr="00E502D7" w:rsidRDefault="00C2178C" w:rsidP="00FB0635">
            <w:pPr>
              <w:jc w:val="center"/>
              <w:rPr>
                <w:rFonts w:ascii="Arial Narrow" w:hAnsi="Arial Narrow" w:cs="Arial"/>
                <w:b/>
                <w:bCs w:val="0"/>
                <w:sz w:val="18"/>
                <w:szCs w:val="18"/>
              </w:rPr>
            </w:pPr>
          </w:p>
        </w:tc>
        <w:tc>
          <w:tcPr>
            <w:tcW w:w="573" w:type="pct"/>
            <w:gridSpan w:val="2"/>
          </w:tcPr>
          <w:p w14:paraId="609379F1"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
                <w:bCs w:val="0"/>
                <w:sz w:val="18"/>
                <w:szCs w:val="18"/>
              </w:rPr>
              <w:t>No</w:t>
            </w:r>
          </w:p>
        </w:tc>
        <w:tc>
          <w:tcPr>
            <w:tcW w:w="1109" w:type="pct"/>
            <w:gridSpan w:val="4"/>
          </w:tcPr>
          <w:p w14:paraId="14B9F1F0"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(Please delete as appropriate)</w:t>
            </w:r>
          </w:p>
        </w:tc>
      </w:tr>
      <w:tr w:rsidR="00C2178C" w:rsidRPr="00E502D7" w14:paraId="43F1D3CF" w14:textId="77777777" w:rsidTr="00FB0635">
        <w:tblPrEx>
          <w:tblLook w:val="04A0" w:firstRow="1" w:lastRow="0" w:firstColumn="1" w:lastColumn="0" w:noHBand="0" w:noVBand="1"/>
        </w:tblPrEx>
        <w:trPr>
          <w:cantSplit/>
          <w:trHeight w:val="423"/>
          <w:jc w:val="center"/>
        </w:trPr>
        <w:tc>
          <w:tcPr>
            <w:tcW w:w="1154" w:type="pct"/>
            <w:gridSpan w:val="2"/>
          </w:tcPr>
          <w:p w14:paraId="124B974D"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Name of Author:</w:t>
            </w:r>
          </w:p>
          <w:p w14:paraId="78F8288E"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Signature of Author:</w:t>
            </w:r>
          </w:p>
        </w:tc>
        <w:tc>
          <w:tcPr>
            <w:tcW w:w="2164" w:type="pct"/>
            <w:gridSpan w:val="7"/>
          </w:tcPr>
          <w:p w14:paraId="6338C9A4" w14:textId="77777777" w:rsidR="00C2178C" w:rsidRPr="00E502D7" w:rsidRDefault="00C2178C" w:rsidP="00FB0635">
            <w:pPr>
              <w:rPr>
                <w:rFonts w:ascii="Arial Narrow" w:hAnsi="Arial Narrow" w:cs="Arial"/>
                <w:b/>
                <w:bCs w:val="0"/>
                <w:sz w:val="18"/>
                <w:szCs w:val="18"/>
              </w:rPr>
            </w:pPr>
            <w:r>
              <w:rPr>
                <w:rFonts w:ascii="Arial Narrow" w:hAnsi="Arial Narrow" w:cs="Arial"/>
                <w:b/>
                <w:bCs w:val="0"/>
                <w:sz w:val="18"/>
                <w:szCs w:val="18"/>
              </w:rPr>
              <w:t>Jennifer Walters</w:t>
            </w:r>
          </w:p>
        </w:tc>
        <w:tc>
          <w:tcPr>
            <w:tcW w:w="874" w:type="pct"/>
            <w:gridSpan w:val="4"/>
            <w:tcBorders>
              <w:right w:val="single" w:sz="4" w:space="0" w:color="auto"/>
            </w:tcBorders>
          </w:tcPr>
          <w:p w14:paraId="149C94BD" w14:textId="77777777" w:rsidR="00C2178C" w:rsidRPr="00E502D7" w:rsidRDefault="00C2178C" w:rsidP="00FB0635">
            <w:pPr>
              <w:jc w:val="center"/>
              <w:rPr>
                <w:rFonts w:ascii="Arial Narrow" w:hAnsi="Arial Narrow" w:cs="Arial"/>
                <w:b/>
                <w:bCs w:val="0"/>
                <w:sz w:val="18"/>
                <w:szCs w:val="18"/>
              </w:rPr>
            </w:pPr>
            <w:r w:rsidRPr="00E502D7">
              <w:rPr>
                <w:rFonts w:ascii="Arial Narrow" w:hAnsi="Arial Narrow" w:cs="Arial"/>
                <w:b/>
                <w:bCs w:val="0"/>
                <w:sz w:val="18"/>
                <w:szCs w:val="18"/>
              </w:rPr>
              <w:t>Date Signed:</w:t>
            </w:r>
          </w:p>
        </w:tc>
        <w:tc>
          <w:tcPr>
            <w:tcW w:w="808" w:type="pct"/>
            <w:gridSpan w:val="2"/>
            <w:tcBorders>
              <w:left w:val="single" w:sz="4" w:space="0" w:color="auto"/>
            </w:tcBorders>
          </w:tcPr>
          <w:p w14:paraId="5602C950" w14:textId="77777777" w:rsidR="00C2178C" w:rsidRPr="00E502D7" w:rsidRDefault="00C2178C" w:rsidP="00FB0635">
            <w:pPr>
              <w:jc w:val="center"/>
              <w:rPr>
                <w:rFonts w:ascii="Arial Narrow" w:hAnsi="Arial Narrow" w:cs="Arial"/>
                <w:b/>
                <w:bCs w:val="0"/>
                <w:sz w:val="18"/>
                <w:szCs w:val="18"/>
              </w:rPr>
            </w:pPr>
            <w:r>
              <w:rPr>
                <w:rFonts w:ascii="Arial Narrow" w:hAnsi="Arial Narrow" w:cs="Arial"/>
                <w:b/>
                <w:bCs w:val="0"/>
                <w:sz w:val="18"/>
                <w:szCs w:val="18"/>
              </w:rPr>
              <w:t>26/4/24</w:t>
            </w:r>
          </w:p>
        </w:tc>
      </w:tr>
      <w:tr w:rsidR="00C2178C" w:rsidRPr="00E502D7" w14:paraId="4CE62936" w14:textId="77777777" w:rsidTr="00FB0635">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2F578C8F" w14:textId="77777777" w:rsidR="00C2178C" w:rsidRPr="00E502D7" w:rsidRDefault="00C2178C" w:rsidP="00FB0635">
            <w:pPr>
              <w:rPr>
                <w:rFonts w:ascii="Arial Narrow" w:hAnsi="Arial Narrow" w:cs="Arial"/>
                <w:bCs w:val="0"/>
                <w:sz w:val="18"/>
                <w:szCs w:val="18"/>
              </w:rPr>
            </w:pPr>
          </w:p>
        </w:tc>
        <w:tc>
          <w:tcPr>
            <w:tcW w:w="808" w:type="pct"/>
            <w:gridSpan w:val="2"/>
            <w:tcBorders>
              <w:left w:val="single" w:sz="4" w:space="0" w:color="auto"/>
            </w:tcBorders>
            <w:shd w:val="clear" w:color="auto" w:fill="D9D9D9"/>
          </w:tcPr>
          <w:p w14:paraId="4CB8140E" w14:textId="77777777" w:rsidR="00C2178C" w:rsidRPr="00E502D7" w:rsidRDefault="00C2178C" w:rsidP="00FB0635">
            <w:pPr>
              <w:rPr>
                <w:rFonts w:ascii="Arial Narrow" w:hAnsi="Arial Narrow" w:cs="Arial"/>
                <w:bCs w:val="0"/>
                <w:sz w:val="18"/>
                <w:szCs w:val="18"/>
              </w:rPr>
            </w:pPr>
          </w:p>
        </w:tc>
      </w:tr>
      <w:tr w:rsidR="00C2178C" w:rsidRPr="00E502D7" w14:paraId="12810305" w14:textId="77777777" w:rsidTr="00FB0635">
        <w:tblPrEx>
          <w:tblLook w:val="04A0" w:firstRow="1" w:lastRow="0" w:firstColumn="1" w:lastColumn="0" w:noHBand="0" w:noVBand="1"/>
        </w:tblPrEx>
        <w:trPr>
          <w:cantSplit/>
          <w:trHeight w:val="423"/>
          <w:jc w:val="center"/>
        </w:trPr>
        <w:tc>
          <w:tcPr>
            <w:tcW w:w="1154" w:type="pct"/>
            <w:gridSpan w:val="2"/>
          </w:tcPr>
          <w:p w14:paraId="34C7EB70"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Name of Lead Person:</w:t>
            </w:r>
          </w:p>
          <w:p w14:paraId="749FF3F6"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Signature of Lead Person:</w:t>
            </w:r>
          </w:p>
        </w:tc>
        <w:tc>
          <w:tcPr>
            <w:tcW w:w="2164" w:type="pct"/>
            <w:gridSpan w:val="7"/>
          </w:tcPr>
          <w:p w14:paraId="375F2120" w14:textId="77777777" w:rsidR="00C2178C" w:rsidRPr="00E502D7" w:rsidRDefault="00C2178C" w:rsidP="00FB0635">
            <w:pPr>
              <w:rPr>
                <w:rFonts w:ascii="Arial Narrow" w:hAnsi="Arial Narrow" w:cs="Arial"/>
                <w:bCs w:val="0"/>
                <w:sz w:val="18"/>
                <w:szCs w:val="18"/>
              </w:rPr>
            </w:pPr>
            <w:r>
              <w:rPr>
                <w:rFonts w:ascii="Arial Narrow" w:hAnsi="Arial Narrow" w:cs="Arial"/>
                <w:bCs w:val="0"/>
                <w:sz w:val="18"/>
                <w:szCs w:val="18"/>
              </w:rPr>
              <w:t>Jennifer Walters</w:t>
            </w:r>
          </w:p>
        </w:tc>
        <w:tc>
          <w:tcPr>
            <w:tcW w:w="874" w:type="pct"/>
            <w:gridSpan w:val="4"/>
            <w:tcBorders>
              <w:right w:val="single" w:sz="4" w:space="0" w:color="auto"/>
            </w:tcBorders>
          </w:tcPr>
          <w:p w14:paraId="57868CBC"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
                <w:bCs w:val="0"/>
                <w:sz w:val="18"/>
                <w:szCs w:val="18"/>
              </w:rPr>
              <w:t>Date Signed:</w:t>
            </w:r>
          </w:p>
        </w:tc>
        <w:tc>
          <w:tcPr>
            <w:tcW w:w="808" w:type="pct"/>
            <w:gridSpan w:val="2"/>
            <w:tcBorders>
              <w:left w:val="single" w:sz="4" w:space="0" w:color="auto"/>
            </w:tcBorders>
          </w:tcPr>
          <w:p w14:paraId="5FD1E668" w14:textId="77777777" w:rsidR="00C2178C" w:rsidRPr="00E502D7" w:rsidRDefault="00C2178C" w:rsidP="00FB0635">
            <w:pPr>
              <w:jc w:val="center"/>
              <w:rPr>
                <w:rFonts w:ascii="Arial Narrow" w:hAnsi="Arial Narrow" w:cs="Arial"/>
                <w:bCs w:val="0"/>
                <w:sz w:val="18"/>
                <w:szCs w:val="18"/>
              </w:rPr>
            </w:pPr>
            <w:r>
              <w:rPr>
                <w:rFonts w:ascii="Arial Narrow" w:hAnsi="Arial Narrow" w:cs="Arial"/>
                <w:bCs w:val="0"/>
                <w:sz w:val="18"/>
                <w:szCs w:val="18"/>
              </w:rPr>
              <w:t>26/4/24</w:t>
            </w:r>
          </w:p>
        </w:tc>
      </w:tr>
      <w:tr w:rsidR="00C2178C" w:rsidRPr="00E502D7" w14:paraId="6459F661" w14:textId="77777777" w:rsidTr="00FB0635">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7A5D851E" w14:textId="77777777" w:rsidR="00C2178C" w:rsidRPr="00E502D7" w:rsidRDefault="00C2178C" w:rsidP="00FB0635">
            <w:pPr>
              <w:rPr>
                <w:rFonts w:ascii="Arial Narrow" w:hAnsi="Arial Narrow" w:cs="Arial"/>
                <w:bCs w:val="0"/>
                <w:sz w:val="18"/>
                <w:szCs w:val="18"/>
              </w:rPr>
            </w:pPr>
          </w:p>
        </w:tc>
        <w:tc>
          <w:tcPr>
            <w:tcW w:w="808" w:type="pct"/>
            <w:gridSpan w:val="2"/>
            <w:tcBorders>
              <w:left w:val="single" w:sz="4" w:space="0" w:color="auto"/>
            </w:tcBorders>
            <w:shd w:val="clear" w:color="auto" w:fill="D9D9D9"/>
          </w:tcPr>
          <w:p w14:paraId="70C8D9D7" w14:textId="77777777" w:rsidR="00C2178C" w:rsidRPr="00E502D7" w:rsidRDefault="00C2178C" w:rsidP="00FB0635">
            <w:pPr>
              <w:rPr>
                <w:rFonts w:ascii="Arial Narrow" w:hAnsi="Arial Narrow" w:cs="Arial"/>
                <w:bCs w:val="0"/>
                <w:sz w:val="18"/>
                <w:szCs w:val="18"/>
              </w:rPr>
            </w:pPr>
          </w:p>
        </w:tc>
      </w:tr>
      <w:tr w:rsidR="00C2178C" w:rsidRPr="00E502D7" w14:paraId="2B12189B" w14:textId="77777777" w:rsidTr="00FB0635">
        <w:tblPrEx>
          <w:tblLook w:val="04A0" w:firstRow="1" w:lastRow="0" w:firstColumn="1" w:lastColumn="0" w:noHBand="0" w:noVBand="1"/>
        </w:tblPrEx>
        <w:trPr>
          <w:cantSplit/>
          <w:trHeight w:val="423"/>
          <w:jc w:val="center"/>
        </w:trPr>
        <w:tc>
          <w:tcPr>
            <w:tcW w:w="1154" w:type="pct"/>
            <w:gridSpan w:val="2"/>
          </w:tcPr>
          <w:p w14:paraId="6A4DC904"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Name of Manager:</w:t>
            </w:r>
          </w:p>
          <w:p w14:paraId="4525A03B" w14:textId="77777777" w:rsidR="00C2178C" w:rsidRPr="00E502D7" w:rsidRDefault="00C2178C" w:rsidP="00FB0635">
            <w:pPr>
              <w:rPr>
                <w:rFonts w:ascii="Arial Narrow" w:hAnsi="Arial Narrow" w:cs="Arial"/>
                <w:b/>
                <w:bCs w:val="0"/>
                <w:sz w:val="18"/>
                <w:szCs w:val="18"/>
              </w:rPr>
            </w:pPr>
            <w:r w:rsidRPr="00E502D7">
              <w:rPr>
                <w:rFonts w:ascii="Arial Narrow" w:hAnsi="Arial Narrow" w:cs="Arial"/>
                <w:b/>
                <w:bCs w:val="0"/>
                <w:sz w:val="18"/>
                <w:szCs w:val="18"/>
              </w:rPr>
              <w:t>Signature of Manager</w:t>
            </w:r>
          </w:p>
        </w:tc>
        <w:tc>
          <w:tcPr>
            <w:tcW w:w="2164" w:type="pct"/>
            <w:gridSpan w:val="7"/>
          </w:tcPr>
          <w:p w14:paraId="4F80C1FD" w14:textId="77777777" w:rsidR="00C2178C" w:rsidRPr="00E502D7" w:rsidRDefault="00C2178C" w:rsidP="00FB0635">
            <w:pPr>
              <w:rPr>
                <w:rFonts w:ascii="Arial Narrow" w:hAnsi="Arial Narrow" w:cs="Arial"/>
                <w:bCs w:val="0"/>
                <w:sz w:val="18"/>
                <w:szCs w:val="18"/>
              </w:rPr>
            </w:pPr>
            <w:r>
              <w:rPr>
                <w:rFonts w:ascii="Arial Narrow" w:hAnsi="Arial Narrow" w:cs="Arial"/>
                <w:bCs w:val="0"/>
                <w:sz w:val="18"/>
                <w:szCs w:val="18"/>
              </w:rPr>
              <w:t>Dr Kolade</w:t>
            </w:r>
          </w:p>
        </w:tc>
        <w:tc>
          <w:tcPr>
            <w:tcW w:w="874" w:type="pct"/>
            <w:gridSpan w:val="4"/>
            <w:tcBorders>
              <w:right w:val="single" w:sz="4" w:space="0" w:color="auto"/>
            </w:tcBorders>
          </w:tcPr>
          <w:p w14:paraId="199ED67D" w14:textId="77777777" w:rsidR="00C2178C" w:rsidRPr="00E502D7" w:rsidRDefault="00C2178C" w:rsidP="00FB0635">
            <w:pPr>
              <w:jc w:val="center"/>
              <w:rPr>
                <w:rFonts w:ascii="Arial Narrow" w:hAnsi="Arial Narrow" w:cs="Arial"/>
                <w:bCs w:val="0"/>
                <w:sz w:val="18"/>
                <w:szCs w:val="18"/>
              </w:rPr>
            </w:pPr>
            <w:r w:rsidRPr="00E502D7">
              <w:rPr>
                <w:rFonts w:ascii="Arial Narrow" w:hAnsi="Arial Narrow" w:cs="Arial"/>
                <w:b/>
                <w:bCs w:val="0"/>
                <w:sz w:val="18"/>
                <w:szCs w:val="18"/>
              </w:rPr>
              <w:t>Date Signed:</w:t>
            </w:r>
          </w:p>
        </w:tc>
        <w:tc>
          <w:tcPr>
            <w:tcW w:w="808" w:type="pct"/>
            <w:gridSpan w:val="2"/>
            <w:tcBorders>
              <w:left w:val="single" w:sz="4" w:space="0" w:color="auto"/>
            </w:tcBorders>
          </w:tcPr>
          <w:p w14:paraId="7D972923" w14:textId="77777777" w:rsidR="00C2178C" w:rsidRPr="00E502D7" w:rsidRDefault="00C2178C" w:rsidP="00FB0635">
            <w:pPr>
              <w:jc w:val="center"/>
              <w:rPr>
                <w:rFonts w:ascii="Arial Narrow" w:hAnsi="Arial Narrow" w:cs="Arial"/>
                <w:bCs w:val="0"/>
                <w:sz w:val="18"/>
                <w:szCs w:val="18"/>
              </w:rPr>
            </w:pPr>
          </w:p>
        </w:tc>
      </w:tr>
      <w:tr w:rsidR="00C2178C" w:rsidRPr="00E502D7" w14:paraId="6363C9E5" w14:textId="77777777" w:rsidTr="00FB0635">
        <w:tblPrEx>
          <w:tblLook w:val="04A0" w:firstRow="1" w:lastRow="0" w:firstColumn="1" w:lastColumn="0" w:noHBand="0" w:noVBand="1"/>
        </w:tblPrEx>
        <w:trPr>
          <w:cantSplit/>
          <w:jc w:val="center"/>
        </w:trPr>
        <w:tc>
          <w:tcPr>
            <w:tcW w:w="5000" w:type="pct"/>
            <w:gridSpan w:val="15"/>
            <w:shd w:val="clear" w:color="auto" w:fill="D9D9D9"/>
          </w:tcPr>
          <w:p w14:paraId="7046B392" w14:textId="77777777" w:rsidR="00C2178C" w:rsidRPr="00E502D7" w:rsidRDefault="00C2178C" w:rsidP="00FB0635">
            <w:pPr>
              <w:rPr>
                <w:rFonts w:ascii="Arial Narrow" w:hAnsi="Arial Narrow" w:cs="Arial"/>
                <w:bCs w:val="0"/>
                <w:sz w:val="18"/>
                <w:szCs w:val="18"/>
              </w:rPr>
            </w:pPr>
          </w:p>
        </w:tc>
      </w:tr>
    </w:tbl>
    <w:p w14:paraId="064538BA" w14:textId="77777777" w:rsidR="00C2178C" w:rsidRPr="00D666A6" w:rsidRDefault="00C2178C" w:rsidP="00C2178C"/>
    <w:sectPr w:rsidR="00C2178C" w:rsidRPr="00D666A6" w:rsidSect="00644344">
      <w:footerReference w:type="default" r:id="rId21"/>
      <w:headerReference w:type="first" r:id="rId22"/>
      <w:pgSz w:w="11906" w:h="16838" w:code="9"/>
      <w:pgMar w:top="1134"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524B" w14:textId="77777777" w:rsidR="007F63F2" w:rsidRDefault="007F63F2">
      <w:r>
        <w:separator/>
      </w:r>
    </w:p>
  </w:endnote>
  <w:endnote w:type="continuationSeparator" w:id="0">
    <w:p w14:paraId="7A2B3B1B" w14:textId="77777777" w:rsidR="007F63F2" w:rsidRDefault="007F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7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1766"/>
      <w:gridCol w:w="2767"/>
      <w:gridCol w:w="3877"/>
    </w:tblGrid>
    <w:tr w:rsidR="00616375" w:rsidRPr="005C7FDB" w14:paraId="6E94C50A" w14:textId="77777777" w:rsidTr="009322B6">
      <w:trPr>
        <w:cantSplit/>
        <w:trHeight w:val="350"/>
        <w:jc w:val="center"/>
      </w:trPr>
      <w:tc>
        <w:tcPr>
          <w:tcW w:w="2695" w:type="pct"/>
          <w:gridSpan w:val="2"/>
        </w:tcPr>
        <w:p w14:paraId="315EB3FA" w14:textId="77777777" w:rsidR="00616375" w:rsidRPr="005C7FDB" w:rsidRDefault="00616375" w:rsidP="009322B6">
          <w:pPr>
            <w:pStyle w:val="Header"/>
            <w:spacing w:before="120"/>
            <w:rPr>
              <w:rFonts w:cs="Arial"/>
              <w:sz w:val="16"/>
              <w:szCs w:val="16"/>
            </w:rPr>
          </w:pPr>
          <w:r w:rsidRPr="005C7FDB">
            <w:rPr>
              <w:rFonts w:cs="Arial"/>
              <w:sz w:val="16"/>
              <w:szCs w:val="16"/>
            </w:rPr>
            <w:t>Blackpool Teaching Hospitals NHS Foundation Trust</w:t>
          </w:r>
        </w:p>
      </w:tc>
      <w:tc>
        <w:tcPr>
          <w:tcW w:w="2305" w:type="pct"/>
          <w:vMerge w:val="restart"/>
        </w:tcPr>
        <w:p w14:paraId="192B4634" w14:textId="3D72316A" w:rsidR="00616375" w:rsidRPr="005C7FDB" w:rsidRDefault="00616375" w:rsidP="009322B6">
          <w:pPr>
            <w:pStyle w:val="Header"/>
            <w:spacing w:before="120"/>
            <w:rPr>
              <w:rFonts w:cs="Arial"/>
              <w:sz w:val="16"/>
              <w:szCs w:val="16"/>
            </w:rPr>
          </w:pPr>
          <w:r w:rsidRPr="005C7FDB">
            <w:rPr>
              <w:rFonts w:cs="Arial"/>
              <w:sz w:val="16"/>
              <w:szCs w:val="16"/>
            </w:rPr>
            <w:t xml:space="preserve">ID No. </w:t>
          </w:r>
          <w:r w:rsidR="00CB3CDF">
            <w:rPr>
              <w:rFonts w:cs="Arial"/>
              <w:sz w:val="16"/>
              <w:szCs w:val="16"/>
            </w:rPr>
            <w:t>CORP/PROC/601</w:t>
          </w:r>
        </w:p>
        <w:p w14:paraId="2C30FE33" w14:textId="0D5A09B7" w:rsidR="00616375" w:rsidRPr="005C7FDB" w:rsidRDefault="00616375" w:rsidP="009322B6">
          <w:pPr>
            <w:rPr>
              <w:sz w:val="16"/>
              <w:szCs w:val="16"/>
            </w:rPr>
          </w:pPr>
          <w:r w:rsidRPr="005C7FDB">
            <w:rPr>
              <w:rFonts w:cs="Arial"/>
              <w:sz w:val="16"/>
              <w:szCs w:val="16"/>
            </w:rPr>
            <w:t xml:space="preserve">Title: </w:t>
          </w:r>
          <w:r w:rsidR="00CB3CDF" w:rsidRPr="00CB3CDF">
            <w:rPr>
              <w:rStyle w:val="Strong"/>
              <w:sz w:val="16"/>
              <w:szCs w:val="16"/>
            </w:rPr>
            <w:t>Enoxaparin for Treatment of Venous Thromboembolism</w:t>
          </w:r>
        </w:p>
      </w:tc>
    </w:tr>
    <w:tr w:rsidR="00616375" w:rsidRPr="005C7FDB" w14:paraId="77786DA6" w14:textId="77777777" w:rsidTr="009322B6">
      <w:trPr>
        <w:cantSplit/>
        <w:trHeight w:val="160"/>
        <w:jc w:val="center"/>
      </w:trPr>
      <w:tc>
        <w:tcPr>
          <w:tcW w:w="1050" w:type="pct"/>
        </w:tcPr>
        <w:p w14:paraId="5C57FAA8" w14:textId="77EB5E48" w:rsidR="00616375" w:rsidRPr="005C7FDB" w:rsidRDefault="00616375" w:rsidP="009322B6">
          <w:pPr>
            <w:pStyle w:val="Header"/>
            <w:spacing w:before="120"/>
            <w:rPr>
              <w:rFonts w:cs="Arial"/>
              <w:sz w:val="16"/>
              <w:szCs w:val="16"/>
            </w:rPr>
          </w:pPr>
          <w:r w:rsidRPr="005C7FDB">
            <w:rPr>
              <w:rFonts w:cs="Arial"/>
              <w:sz w:val="16"/>
              <w:szCs w:val="16"/>
            </w:rPr>
            <w:t xml:space="preserve">Revision No: </w:t>
          </w:r>
          <w:r w:rsidR="00CB3CDF">
            <w:rPr>
              <w:rFonts w:cs="Arial"/>
              <w:sz w:val="16"/>
              <w:szCs w:val="16"/>
            </w:rPr>
            <w:t>5</w:t>
          </w:r>
          <w:r w:rsidR="00995A3E">
            <w:rPr>
              <w:rFonts w:cs="Arial"/>
              <w:sz w:val="16"/>
              <w:szCs w:val="16"/>
            </w:rPr>
            <w:t>.1</w:t>
          </w:r>
        </w:p>
      </w:tc>
      <w:tc>
        <w:tcPr>
          <w:tcW w:w="1645" w:type="pct"/>
        </w:tcPr>
        <w:p w14:paraId="3637D9C5" w14:textId="5B656DFD" w:rsidR="00616375" w:rsidRPr="005C7FDB" w:rsidRDefault="00616375" w:rsidP="009322B6">
          <w:pPr>
            <w:pStyle w:val="Header"/>
            <w:spacing w:before="120"/>
            <w:rPr>
              <w:rFonts w:cs="Arial"/>
              <w:sz w:val="16"/>
              <w:szCs w:val="16"/>
            </w:rPr>
          </w:pPr>
          <w:r w:rsidRPr="005C7FDB">
            <w:rPr>
              <w:rFonts w:cs="Arial"/>
              <w:sz w:val="16"/>
              <w:szCs w:val="16"/>
            </w:rPr>
            <w:t xml:space="preserve">Next Review Date: </w:t>
          </w:r>
          <w:r w:rsidR="0021772F">
            <w:rPr>
              <w:rFonts w:cs="Arial"/>
              <w:sz w:val="16"/>
              <w:szCs w:val="16"/>
            </w:rPr>
            <w:t>26/11/2027</w:t>
          </w:r>
        </w:p>
      </w:tc>
      <w:tc>
        <w:tcPr>
          <w:tcW w:w="2305" w:type="pct"/>
          <w:vMerge/>
        </w:tcPr>
        <w:p w14:paraId="17AA3322" w14:textId="77777777" w:rsidR="00616375" w:rsidRPr="005C7FDB" w:rsidRDefault="00616375" w:rsidP="009322B6">
          <w:pPr>
            <w:pStyle w:val="Header"/>
            <w:spacing w:before="120"/>
            <w:rPr>
              <w:rFonts w:cs="Arial"/>
              <w:sz w:val="16"/>
              <w:szCs w:val="16"/>
            </w:rPr>
          </w:pPr>
        </w:p>
      </w:tc>
    </w:tr>
    <w:tr w:rsidR="00616375" w:rsidRPr="005C7FDB" w14:paraId="1F182E30" w14:textId="77777777" w:rsidTr="009322B6">
      <w:trPr>
        <w:trHeight w:val="248"/>
        <w:jc w:val="center"/>
      </w:trPr>
      <w:tc>
        <w:tcPr>
          <w:tcW w:w="5000" w:type="pct"/>
          <w:gridSpan w:val="3"/>
        </w:tcPr>
        <w:p w14:paraId="0D7F6E22" w14:textId="77777777" w:rsidR="00804484" w:rsidRDefault="00804484" w:rsidP="00804484">
          <w:pPr>
            <w:pStyle w:val="Footer"/>
            <w:jc w:val="center"/>
            <w:rPr>
              <w:rFonts w:cs="Arial"/>
              <w:b/>
              <w:i/>
              <w:sz w:val="16"/>
              <w:szCs w:val="16"/>
            </w:rPr>
          </w:pPr>
          <w:r>
            <w:rPr>
              <w:rFonts w:cs="Arial"/>
              <w:b/>
              <w:i/>
              <w:sz w:val="16"/>
              <w:szCs w:val="16"/>
            </w:rPr>
            <w:t>UNCONTROLLED COPY WHEN PRINTED</w:t>
          </w:r>
        </w:p>
        <w:p w14:paraId="62137263" w14:textId="6CB0CC3D" w:rsidR="00616375" w:rsidRPr="005C7FDB" w:rsidRDefault="00804484" w:rsidP="00804484">
          <w:pPr>
            <w:pStyle w:val="Footer"/>
            <w:jc w:val="center"/>
            <w:rPr>
              <w:rFonts w:cs="Arial"/>
              <w:b/>
              <w:i/>
              <w:sz w:val="16"/>
              <w:szCs w:val="16"/>
              <w:lang w:val="en-US"/>
            </w:rPr>
          </w:pPr>
          <w:r>
            <w:rPr>
              <w:rFonts w:cs="Arial"/>
              <w:b/>
              <w:i/>
              <w:sz w:val="16"/>
              <w:szCs w:val="16"/>
            </w:rPr>
            <w:t>Current Version held on the Intranet</w:t>
          </w:r>
        </w:p>
      </w:tc>
    </w:tr>
  </w:tbl>
  <w:p w14:paraId="7DB0A254" w14:textId="77777777" w:rsidR="00616375" w:rsidRDefault="00616375" w:rsidP="00616375">
    <w:pPr>
      <w:pStyle w:val="Footer"/>
      <w:jc w:val="center"/>
    </w:pPr>
    <w:r w:rsidRPr="006D567E">
      <w:rPr>
        <w:rFonts w:cs="Arial"/>
        <w:sz w:val="16"/>
        <w:lang w:val="en-US"/>
      </w:rPr>
      <w:t xml:space="preserve">Page </w:t>
    </w:r>
    <w:r w:rsidRPr="006D567E">
      <w:rPr>
        <w:rFonts w:cs="Arial"/>
        <w:sz w:val="16"/>
        <w:lang w:val="en-US"/>
      </w:rPr>
      <w:fldChar w:fldCharType="begin"/>
    </w:r>
    <w:r w:rsidRPr="006D567E">
      <w:rPr>
        <w:rFonts w:cs="Arial"/>
        <w:sz w:val="16"/>
        <w:lang w:val="en-US"/>
      </w:rPr>
      <w:instrText xml:space="preserve"> PAGE </w:instrText>
    </w:r>
    <w:r w:rsidRPr="006D567E">
      <w:rPr>
        <w:rFonts w:cs="Arial"/>
        <w:sz w:val="16"/>
        <w:lang w:val="en-US"/>
      </w:rPr>
      <w:fldChar w:fldCharType="separate"/>
    </w:r>
    <w:r w:rsidR="003E34A9">
      <w:rPr>
        <w:rFonts w:cs="Arial"/>
        <w:noProof/>
        <w:sz w:val="16"/>
        <w:lang w:val="en-US"/>
      </w:rPr>
      <w:t>2</w:t>
    </w:r>
    <w:r w:rsidRPr="006D567E">
      <w:rPr>
        <w:rFonts w:cs="Arial"/>
        <w:sz w:val="16"/>
        <w:lang w:val="en-US"/>
      </w:rPr>
      <w:fldChar w:fldCharType="end"/>
    </w:r>
    <w:r w:rsidRPr="006D567E">
      <w:rPr>
        <w:rFonts w:cs="Arial"/>
        <w:sz w:val="16"/>
        <w:lang w:val="en-US"/>
      </w:rPr>
      <w:t xml:space="preserve"> of </w:t>
    </w:r>
    <w:r w:rsidRPr="006D567E">
      <w:rPr>
        <w:rFonts w:cs="Arial"/>
        <w:sz w:val="16"/>
        <w:lang w:val="en-US"/>
      </w:rPr>
      <w:fldChar w:fldCharType="begin"/>
    </w:r>
    <w:r w:rsidRPr="006D567E">
      <w:rPr>
        <w:rFonts w:cs="Arial"/>
        <w:sz w:val="16"/>
        <w:lang w:val="en-US"/>
      </w:rPr>
      <w:instrText xml:space="preserve"> NUMPAGES </w:instrText>
    </w:r>
    <w:r w:rsidRPr="006D567E">
      <w:rPr>
        <w:rFonts w:cs="Arial"/>
        <w:sz w:val="16"/>
        <w:lang w:val="en-US"/>
      </w:rPr>
      <w:fldChar w:fldCharType="separate"/>
    </w:r>
    <w:r w:rsidR="003E34A9">
      <w:rPr>
        <w:rFonts w:cs="Arial"/>
        <w:noProof/>
        <w:sz w:val="16"/>
        <w:lang w:val="en-US"/>
      </w:rPr>
      <w:t>7</w:t>
    </w:r>
    <w:r w:rsidRPr="006D567E">
      <w:rPr>
        <w:rFonts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0F8C" w14:textId="77777777" w:rsidR="007F63F2" w:rsidRDefault="007F63F2">
      <w:r>
        <w:separator/>
      </w:r>
    </w:p>
  </w:footnote>
  <w:footnote w:type="continuationSeparator" w:id="0">
    <w:p w14:paraId="1B3E8763" w14:textId="77777777" w:rsidR="007F63F2" w:rsidRDefault="007F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E3DA" w14:textId="77777777" w:rsidR="0038067E" w:rsidRDefault="0038067E" w:rsidP="007B7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13817080"/>
    <w:multiLevelType w:val="hybridMultilevel"/>
    <w:tmpl w:val="381CEE26"/>
    <w:lvl w:ilvl="0" w:tplc="B8F8A4AA">
      <w:start w:val="1"/>
      <w:numFmt w:val="lowerRoman"/>
      <w:lvlText w:val="%1."/>
      <w:lvlJc w:val="left"/>
      <w:pPr>
        <w:tabs>
          <w:tab w:val="num" w:pos="1440"/>
        </w:tabs>
        <w:ind w:left="1440" w:hanging="360"/>
      </w:pPr>
      <w:rPr>
        <w:rFonts w:hint="default"/>
      </w:rPr>
    </w:lvl>
    <w:lvl w:ilvl="1" w:tplc="7960E942" w:tentative="1">
      <w:start w:val="1"/>
      <w:numFmt w:val="lowerLetter"/>
      <w:lvlText w:val="%2."/>
      <w:lvlJc w:val="left"/>
      <w:pPr>
        <w:tabs>
          <w:tab w:val="num" w:pos="1440"/>
        </w:tabs>
        <w:ind w:left="1440" w:hanging="360"/>
      </w:pPr>
    </w:lvl>
    <w:lvl w:ilvl="2" w:tplc="3B161AD2" w:tentative="1">
      <w:start w:val="1"/>
      <w:numFmt w:val="lowerRoman"/>
      <w:lvlText w:val="%3."/>
      <w:lvlJc w:val="right"/>
      <w:pPr>
        <w:tabs>
          <w:tab w:val="num" w:pos="2160"/>
        </w:tabs>
        <w:ind w:left="2160" w:hanging="180"/>
      </w:pPr>
    </w:lvl>
    <w:lvl w:ilvl="3" w:tplc="5FB87D98" w:tentative="1">
      <w:start w:val="1"/>
      <w:numFmt w:val="decimal"/>
      <w:lvlText w:val="%4."/>
      <w:lvlJc w:val="left"/>
      <w:pPr>
        <w:tabs>
          <w:tab w:val="num" w:pos="2880"/>
        </w:tabs>
        <w:ind w:left="2880" w:hanging="360"/>
      </w:pPr>
    </w:lvl>
    <w:lvl w:ilvl="4" w:tplc="C298F10C" w:tentative="1">
      <w:start w:val="1"/>
      <w:numFmt w:val="lowerLetter"/>
      <w:lvlText w:val="%5."/>
      <w:lvlJc w:val="left"/>
      <w:pPr>
        <w:tabs>
          <w:tab w:val="num" w:pos="3600"/>
        </w:tabs>
        <w:ind w:left="3600" w:hanging="360"/>
      </w:pPr>
    </w:lvl>
    <w:lvl w:ilvl="5" w:tplc="03FAFE1E" w:tentative="1">
      <w:start w:val="1"/>
      <w:numFmt w:val="lowerRoman"/>
      <w:lvlText w:val="%6."/>
      <w:lvlJc w:val="right"/>
      <w:pPr>
        <w:tabs>
          <w:tab w:val="num" w:pos="4320"/>
        </w:tabs>
        <w:ind w:left="4320" w:hanging="180"/>
      </w:pPr>
    </w:lvl>
    <w:lvl w:ilvl="6" w:tplc="8F72A4E0" w:tentative="1">
      <w:start w:val="1"/>
      <w:numFmt w:val="decimal"/>
      <w:lvlText w:val="%7."/>
      <w:lvlJc w:val="left"/>
      <w:pPr>
        <w:tabs>
          <w:tab w:val="num" w:pos="5040"/>
        </w:tabs>
        <w:ind w:left="5040" w:hanging="360"/>
      </w:pPr>
    </w:lvl>
    <w:lvl w:ilvl="7" w:tplc="C5FAAF2E" w:tentative="1">
      <w:start w:val="1"/>
      <w:numFmt w:val="lowerLetter"/>
      <w:lvlText w:val="%8."/>
      <w:lvlJc w:val="left"/>
      <w:pPr>
        <w:tabs>
          <w:tab w:val="num" w:pos="5760"/>
        </w:tabs>
        <w:ind w:left="5760" w:hanging="360"/>
      </w:pPr>
    </w:lvl>
    <w:lvl w:ilvl="8" w:tplc="07B64762" w:tentative="1">
      <w:start w:val="1"/>
      <w:numFmt w:val="lowerRoman"/>
      <w:lvlText w:val="%9."/>
      <w:lvlJc w:val="right"/>
      <w:pPr>
        <w:tabs>
          <w:tab w:val="num" w:pos="6480"/>
        </w:tabs>
        <w:ind w:left="6480" w:hanging="180"/>
      </w:pPr>
    </w:lvl>
  </w:abstractNum>
  <w:abstractNum w:abstractNumId="2" w15:restartNumberingAfterBreak="0">
    <w:nsid w:val="18BA46CB"/>
    <w:multiLevelType w:val="hybridMultilevel"/>
    <w:tmpl w:val="D4B4B4F4"/>
    <w:lvl w:ilvl="0" w:tplc="8CE0E636">
      <w:start w:val="1"/>
      <w:numFmt w:val="bullet"/>
      <w:pStyle w:val="BulletLevel1"/>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 w15:restartNumberingAfterBreak="0">
    <w:nsid w:val="20D12A7B"/>
    <w:multiLevelType w:val="hybridMultilevel"/>
    <w:tmpl w:val="5C62877A"/>
    <w:lvl w:ilvl="0" w:tplc="A8E840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85518"/>
    <w:multiLevelType w:val="hybridMultilevel"/>
    <w:tmpl w:val="8DF2261A"/>
    <w:lvl w:ilvl="0" w:tplc="9FD88A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74BA3"/>
    <w:multiLevelType w:val="multilevel"/>
    <w:tmpl w:val="82DA7E40"/>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BF87BFE"/>
    <w:multiLevelType w:val="multilevel"/>
    <w:tmpl w:val="37C860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2C242459"/>
    <w:multiLevelType w:val="hybridMultilevel"/>
    <w:tmpl w:val="5DF642DA"/>
    <w:lvl w:ilvl="0" w:tplc="131EED5E">
      <w:start w:val="1"/>
      <w:numFmt w:val="decimal"/>
      <w:lvlText w:val="%1."/>
      <w:lvlJc w:val="left"/>
      <w:pPr>
        <w:ind w:left="720" w:hanging="360"/>
      </w:pPr>
      <w:rPr>
        <w:rFonts w:hint="default"/>
      </w:rPr>
    </w:lvl>
    <w:lvl w:ilvl="1" w:tplc="E5DA7A24" w:tentative="1">
      <w:start w:val="1"/>
      <w:numFmt w:val="lowerLetter"/>
      <w:lvlText w:val="%2."/>
      <w:lvlJc w:val="left"/>
      <w:pPr>
        <w:ind w:left="1440" w:hanging="360"/>
      </w:pPr>
    </w:lvl>
    <w:lvl w:ilvl="2" w:tplc="2070EDD2" w:tentative="1">
      <w:start w:val="1"/>
      <w:numFmt w:val="lowerRoman"/>
      <w:lvlText w:val="%3."/>
      <w:lvlJc w:val="right"/>
      <w:pPr>
        <w:ind w:left="2160" w:hanging="180"/>
      </w:pPr>
    </w:lvl>
    <w:lvl w:ilvl="3" w:tplc="4094BE2E" w:tentative="1">
      <w:start w:val="1"/>
      <w:numFmt w:val="decimal"/>
      <w:lvlText w:val="%4."/>
      <w:lvlJc w:val="left"/>
      <w:pPr>
        <w:ind w:left="2880" w:hanging="360"/>
      </w:pPr>
    </w:lvl>
    <w:lvl w:ilvl="4" w:tplc="77A43EC8" w:tentative="1">
      <w:start w:val="1"/>
      <w:numFmt w:val="lowerLetter"/>
      <w:lvlText w:val="%5."/>
      <w:lvlJc w:val="left"/>
      <w:pPr>
        <w:ind w:left="3600" w:hanging="360"/>
      </w:pPr>
    </w:lvl>
    <w:lvl w:ilvl="5" w:tplc="D8B8B9E6" w:tentative="1">
      <w:start w:val="1"/>
      <w:numFmt w:val="lowerRoman"/>
      <w:lvlText w:val="%6."/>
      <w:lvlJc w:val="right"/>
      <w:pPr>
        <w:ind w:left="4320" w:hanging="180"/>
      </w:pPr>
    </w:lvl>
    <w:lvl w:ilvl="6" w:tplc="1D00CDC2" w:tentative="1">
      <w:start w:val="1"/>
      <w:numFmt w:val="decimal"/>
      <w:lvlText w:val="%7."/>
      <w:lvlJc w:val="left"/>
      <w:pPr>
        <w:ind w:left="5040" w:hanging="360"/>
      </w:pPr>
    </w:lvl>
    <w:lvl w:ilvl="7" w:tplc="4BAC5B5A" w:tentative="1">
      <w:start w:val="1"/>
      <w:numFmt w:val="lowerLetter"/>
      <w:lvlText w:val="%8."/>
      <w:lvlJc w:val="left"/>
      <w:pPr>
        <w:ind w:left="5760" w:hanging="360"/>
      </w:pPr>
    </w:lvl>
    <w:lvl w:ilvl="8" w:tplc="1E3E7AAA" w:tentative="1">
      <w:start w:val="1"/>
      <w:numFmt w:val="lowerRoman"/>
      <w:lvlText w:val="%9."/>
      <w:lvlJc w:val="right"/>
      <w:pPr>
        <w:ind w:left="6480" w:hanging="180"/>
      </w:pPr>
    </w:lvl>
  </w:abstractNum>
  <w:abstractNum w:abstractNumId="8" w15:restartNumberingAfterBreak="0">
    <w:nsid w:val="2C6674C3"/>
    <w:multiLevelType w:val="multilevel"/>
    <w:tmpl w:val="9F2AB0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9A5B48"/>
    <w:multiLevelType w:val="hybridMultilevel"/>
    <w:tmpl w:val="560681D6"/>
    <w:lvl w:ilvl="0" w:tplc="3A0A0AC8">
      <w:start w:val="1"/>
      <w:numFmt w:val="decimal"/>
      <w:lvlText w:val="%1."/>
      <w:lvlJc w:val="left"/>
      <w:pPr>
        <w:ind w:left="720" w:hanging="360"/>
      </w:pPr>
      <w:rPr>
        <w:rFonts w:hint="default"/>
      </w:rPr>
    </w:lvl>
    <w:lvl w:ilvl="1" w:tplc="1FF2FD6C" w:tentative="1">
      <w:start w:val="1"/>
      <w:numFmt w:val="lowerLetter"/>
      <w:lvlText w:val="%2."/>
      <w:lvlJc w:val="left"/>
      <w:pPr>
        <w:ind w:left="1440" w:hanging="360"/>
      </w:pPr>
    </w:lvl>
    <w:lvl w:ilvl="2" w:tplc="C91CB9A6" w:tentative="1">
      <w:start w:val="1"/>
      <w:numFmt w:val="lowerRoman"/>
      <w:lvlText w:val="%3."/>
      <w:lvlJc w:val="right"/>
      <w:pPr>
        <w:ind w:left="2160" w:hanging="180"/>
      </w:pPr>
    </w:lvl>
    <w:lvl w:ilvl="3" w:tplc="853250A6" w:tentative="1">
      <w:start w:val="1"/>
      <w:numFmt w:val="decimal"/>
      <w:lvlText w:val="%4."/>
      <w:lvlJc w:val="left"/>
      <w:pPr>
        <w:ind w:left="2880" w:hanging="360"/>
      </w:pPr>
    </w:lvl>
    <w:lvl w:ilvl="4" w:tplc="419EB034" w:tentative="1">
      <w:start w:val="1"/>
      <w:numFmt w:val="lowerLetter"/>
      <w:lvlText w:val="%5."/>
      <w:lvlJc w:val="left"/>
      <w:pPr>
        <w:ind w:left="3600" w:hanging="360"/>
      </w:pPr>
    </w:lvl>
    <w:lvl w:ilvl="5" w:tplc="52A62C3E" w:tentative="1">
      <w:start w:val="1"/>
      <w:numFmt w:val="lowerRoman"/>
      <w:lvlText w:val="%6."/>
      <w:lvlJc w:val="right"/>
      <w:pPr>
        <w:ind w:left="4320" w:hanging="180"/>
      </w:pPr>
    </w:lvl>
    <w:lvl w:ilvl="6" w:tplc="D0447CA6" w:tentative="1">
      <w:start w:val="1"/>
      <w:numFmt w:val="decimal"/>
      <w:lvlText w:val="%7."/>
      <w:lvlJc w:val="left"/>
      <w:pPr>
        <w:ind w:left="5040" w:hanging="360"/>
      </w:pPr>
    </w:lvl>
    <w:lvl w:ilvl="7" w:tplc="6CE64496" w:tentative="1">
      <w:start w:val="1"/>
      <w:numFmt w:val="lowerLetter"/>
      <w:lvlText w:val="%8."/>
      <w:lvlJc w:val="left"/>
      <w:pPr>
        <w:ind w:left="5760" w:hanging="360"/>
      </w:pPr>
    </w:lvl>
    <w:lvl w:ilvl="8" w:tplc="A4084F92" w:tentative="1">
      <w:start w:val="1"/>
      <w:numFmt w:val="lowerRoman"/>
      <w:lvlText w:val="%9."/>
      <w:lvlJc w:val="right"/>
      <w:pPr>
        <w:ind w:left="6480" w:hanging="180"/>
      </w:pPr>
    </w:lvl>
  </w:abstractNum>
  <w:abstractNum w:abstractNumId="10" w15:restartNumberingAfterBreak="0">
    <w:nsid w:val="39FC4805"/>
    <w:multiLevelType w:val="hybridMultilevel"/>
    <w:tmpl w:val="68981E1A"/>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53A87"/>
    <w:multiLevelType w:val="hybridMultilevel"/>
    <w:tmpl w:val="67AEEF62"/>
    <w:lvl w:ilvl="0" w:tplc="08090001">
      <w:start w:val="1"/>
      <w:numFmt w:val="bullet"/>
      <w:pStyle w:val="BulletLeve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5112717"/>
    <w:multiLevelType w:val="hybridMultilevel"/>
    <w:tmpl w:val="8BC22ABE"/>
    <w:lvl w:ilvl="0" w:tplc="0076F7FE">
      <w:start w:val="1"/>
      <w:numFmt w:val="decimal"/>
      <w:pStyle w:val="Number3"/>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15:restartNumberingAfterBreak="0">
    <w:nsid w:val="56716615"/>
    <w:multiLevelType w:val="hybridMultilevel"/>
    <w:tmpl w:val="75B058A0"/>
    <w:lvl w:ilvl="0" w:tplc="4E22C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9B57DC"/>
    <w:multiLevelType w:val="hybridMultilevel"/>
    <w:tmpl w:val="86E8E444"/>
    <w:lvl w:ilvl="0" w:tplc="BF965678">
      <w:start w:val="4"/>
      <w:numFmt w:val="decimal"/>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09415D"/>
    <w:multiLevelType w:val="hybridMultilevel"/>
    <w:tmpl w:val="6F3E2838"/>
    <w:lvl w:ilvl="0" w:tplc="0809000F">
      <w:start w:val="1"/>
      <w:numFmt w:val="bullet"/>
      <w:lvlText w:val=""/>
      <w:lvlJc w:val="left"/>
      <w:pPr>
        <w:ind w:left="1146" w:hanging="360"/>
      </w:pPr>
      <w:rPr>
        <w:rFonts w:ascii="Symbol" w:hAnsi="Symbol" w:hint="default"/>
      </w:rPr>
    </w:lvl>
    <w:lvl w:ilvl="1" w:tplc="08090019" w:tentative="1">
      <w:start w:val="1"/>
      <w:numFmt w:val="bullet"/>
      <w:lvlText w:val="o"/>
      <w:lvlJc w:val="left"/>
      <w:pPr>
        <w:ind w:left="1866" w:hanging="360"/>
      </w:pPr>
      <w:rPr>
        <w:rFonts w:ascii="Courier New" w:hAnsi="Courier New" w:cs="Courier New" w:hint="default"/>
      </w:rPr>
    </w:lvl>
    <w:lvl w:ilvl="2" w:tplc="0809001B" w:tentative="1">
      <w:start w:val="1"/>
      <w:numFmt w:val="bullet"/>
      <w:lvlText w:val=""/>
      <w:lvlJc w:val="left"/>
      <w:pPr>
        <w:ind w:left="2586" w:hanging="360"/>
      </w:pPr>
      <w:rPr>
        <w:rFonts w:ascii="Wingdings" w:hAnsi="Wingdings" w:hint="default"/>
      </w:rPr>
    </w:lvl>
    <w:lvl w:ilvl="3" w:tplc="0809000F" w:tentative="1">
      <w:start w:val="1"/>
      <w:numFmt w:val="bullet"/>
      <w:lvlText w:val=""/>
      <w:lvlJc w:val="left"/>
      <w:pPr>
        <w:ind w:left="3306" w:hanging="360"/>
      </w:pPr>
      <w:rPr>
        <w:rFonts w:ascii="Symbol" w:hAnsi="Symbol" w:hint="default"/>
      </w:rPr>
    </w:lvl>
    <w:lvl w:ilvl="4" w:tplc="08090019" w:tentative="1">
      <w:start w:val="1"/>
      <w:numFmt w:val="bullet"/>
      <w:lvlText w:val="o"/>
      <w:lvlJc w:val="left"/>
      <w:pPr>
        <w:ind w:left="4026" w:hanging="360"/>
      </w:pPr>
      <w:rPr>
        <w:rFonts w:ascii="Courier New" w:hAnsi="Courier New" w:cs="Courier New" w:hint="default"/>
      </w:rPr>
    </w:lvl>
    <w:lvl w:ilvl="5" w:tplc="0809001B" w:tentative="1">
      <w:start w:val="1"/>
      <w:numFmt w:val="bullet"/>
      <w:lvlText w:val=""/>
      <w:lvlJc w:val="left"/>
      <w:pPr>
        <w:ind w:left="4746" w:hanging="360"/>
      </w:pPr>
      <w:rPr>
        <w:rFonts w:ascii="Wingdings" w:hAnsi="Wingdings" w:hint="default"/>
      </w:rPr>
    </w:lvl>
    <w:lvl w:ilvl="6" w:tplc="0809000F" w:tentative="1">
      <w:start w:val="1"/>
      <w:numFmt w:val="bullet"/>
      <w:lvlText w:val=""/>
      <w:lvlJc w:val="left"/>
      <w:pPr>
        <w:ind w:left="5466" w:hanging="360"/>
      </w:pPr>
      <w:rPr>
        <w:rFonts w:ascii="Symbol" w:hAnsi="Symbol" w:hint="default"/>
      </w:rPr>
    </w:lvl>
    <w:lvl w:ilvl="7" w:tplc="08090019" w:tentative="1">
      <w:start w:val="1"/>
      <w:numFmt w:val="bullet"/>
      <w:lvlText w:val="o"/>
      <w:lvlJc w:val="left"/>
      <w:pPr>
        <w:ind w:left="6186" w:hanging="360"/>
      </w:pPr>
      <w:rPr>
        <w:rFonts w:ascii="Courier New" w:hAnsi="Courier New" w:cs="Courier New" w:hint="default"/>
      </w:rPr>
    </w:lvl>
    <w:lvl w:ilvl="8" w:tplc="0809001B" w:tentative="1">
      <w:start w:val="1"/>
      <w:numFmt w:val="bullet"/>
      <w:lvlText w:val=""/>
      <w:lvlJc w:val="left"/>
      <w:pPr>
        <w:ind w:left="6906" w:hanging="360"/>
      </w:pPr>
      <w:rPr>
        <w:rFonts w:ascii="Wingdings" w:hAnsi="Wingdings" w:hint="default"/>
      </w:rPr>
    </w:lvl>
  </w:abstractNum>
  <w:num w:numId="1" w16cid:durableId="1968314096">
    <w:abstractNumId w:val="1"/>
  </w:num>
  <w:num w:numId="2" w16cid:durableId="288973532">
    <w:abstractNumId w:val="16"/>
  </w:num>
  <w:num w:numId="3" w16cid:durableId="1172767096">
    <w:abstractNumId w:val="3"/>
  </w:num>
  <w:num w:numId="4" w16cid:durableId="194470724">
    <w:abstractNumId w:val="4"/>
  </w:num>
  <w:num w:numId="5" w16cid:durableId="284578635">
    <w:abstractNumId w:val="11"/>
  </w:num>
  <w:num w:numId="6" w16cid:durableId="1177773649">
    <w:abstractNumId w:val="0"/>
  </w:num>
  <w:num w:numId="7" w16cid:durableId="1089233046">
    <w:abstractNumId w:val="13"/>
  </w:num>
  <w:num w:numId="8" w16cid:durableId="1659113926">
    <w:abstractNumId w:val="5"/>
  </w:num>
  <w:num w:numId="9" w16cid:durableId="1990475216">
    <w:abstractNumId w:val="10"/>
  </w:num>
  <w:num w:numId="10" w16cid:durableId="292634525">
    <w:abstractNumId w:val="7"/>
  </w:num>
  <w:num w:numId="11" w16cid:durableId="659310708">
    <w:abstractNumId w:val="2"/>
  </w:num>
  <w:num w:numId="12" w16cid:durableId="2019696535">
    <w:abstractNumId w:val="14"/>
  </w:num>
  <w:num w:numId="13" w16cid:durableId="1094518463">
    <w:abstractNumId w:val="9"/>
  </w:num>
  <w:num w:numId="14" w16cid:durableId="203493523">
    <w:abstractNumId w:val="8"/>
  </w:num>
  <w:num w:numId="15" w16cid:durableId="1742679389">
    <w:abstractNumId w:val="6"/>
  </w:num>
  <w:num w:numId="16" w16cid:durableId="1981759947">
    <w:abstractNumId w:val="12"/>
  </w:num>
  <w:num w:numId="17" w16cid:durableId="1235429668">
    <w:abstractNumId w:val="15"/>
  </w:num>
  <w:num w:numId="18" w16cid:durableId="48070073">
    <w:abstractNumId w:val="5"/>
  </w:num>
  <w:num w:numId="19" w16cid:durableId="702022012">
    <w:abstractNumId w:val="5"/>
  </w:num>
  <w:num w:numId="20" w16cid:durableId="1754736331">
    <w:abstractNumId w:val="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B"/>
    <w:rsid w:val="00003E42"/>
    <w:rsid w:val="0000639C"/>
    <w:rsid w:val="00010469"/>
    <w:rsid w:val="000112F6"/>
    <w:rsid w:val="00012101"/>
    <w:rsid w:val="000139A5"/>
    <w:rsid w:val="00013DA0"/>
    <w:rsid w:val="00014148"/>
    <w:rsid w:val="00017F0D"/>
    <w:rsid w:val="00017F3E"/>
    <w:rsid w:val="00021F53"/>
    <w:rsid w:val="00021FB5"/>
    <w:rsid w:val="0002541E"/>
    <w:rsid w:val="00030C10"/>
    <w:rsid w:val="0003144E"/>
    <w:rsid w:val="00037050"/>
    <w:rsid w:val="000402E1"/>
    <w:rsid w:val="00046773"/>
    <w:rsid w:val="0005045A"/>
    <w:rsid w:val="00050C2D"/>
    <w:rsid w:val="00050EAB"/>
    <w:rsid w:val="0005396D"/>
    <w:rsid w:val="00061F02"/>
    <w:rsid w:val="00065FDE"/>
    <w:rsid w:val="00070443"/>
    <w:rsid w:val="00071631"/>
    <w:rsid w:val="000723D1"/>
    <w:rsid w:val="00073BE6"/>
    <w:rsid w:val="00080221"/>
    <w:rsid w:val="000820A8"/>
    <w:rsid w:val="000822A1"/>
    <w:rsid w:val="000861D5"/>
    <w:rsid w:val="00086305"/>
    <w:rsid w:val="00090C4E"/>
    <w:rsid w:val="00092E7E"/>
    <w:rsid w:val="00097250"/>
    <w:rsid w:val="000A05DB"/>
    <w:rsid w:val="000A373A"/>
    <w:rsid w:val="000A51DC"/>
    <w:rsid w:val="000A5644"/>
    <w:rsid w:val="000B7D17"/>
    <w:rsid w:val="000C2139"/>
    <w:rsid w:val="000C2BAA"/>
    <w:rsid w:val="000C38F2"/>
    <w:rsid w:val="000C74BC"/>
    <w:rsid w:val="000D4580"/>
    <w:rsid w:val="000D69FD"/>
    <w:rsid w:val="000D70EE"/>
    <w:rsid w:val="000E00D4"/>
    <w:rsid w:val="000E18DC"/>
    <w:rsid w:val="000E4CB2"/>
    <w:rsid w:val="000E4E43"/>
    <w:rsid w:val="000F3669"/>
    <w:rsid w:val="000F7751"/>
    <w:rsid w:val="001002BD"/>
    <w:rsid w:val="00100EE1"/>
    <w:rsid w:val="00105109"/>
    <w:rsid w:val="00107444"/>
    <w:rsid w:val="00115716"/>
    <w:rsid w:val="00115B85"/>
    <w:rsid w:val="00122D5E"/>
    <w:rsid w:val="001243EB"/>
    <w:rsid w:val="00125586"/>
    <w:rsid w:val="001257A4"/>
    <w:rsid w:val="00127736"/>
    <w:rsid w:val="001312FE"/>
    <w:rsid w:val="001315D1"/>
    <w:rsid w:val="00132851"/>
    <w:rsid w:val="00133BC5"/>
    <w:rsid w:val="00135CFA"/>
    <w:rsid w:val="00141AAF"/>
    <w:rsid w:val="001442C6"/>
    <w:rsid w:val="00147DF0"/>
    <w:rsid w:val="0015094C"/>
    <w:rsid w:val="0015542D"/>
    <w:rsid w:val="001574B1"/>
    <w:rsid w:val="00161D95"/>
    <w:rsid w:val="0016201C"/>
    <w:rsid w:val="001629CC"/>
    <w:rsid w:val="001666E2"/>
    <w:rsid w:val="001774AD"/>
    <w:rsid w:val="00187852"/>
    <w:rsid w:val="00187F54"/>
    <w:rsid w:val="001900C4"/>
    <w:rsid w:val="0019030E"/>
    <w:rsid w:val="00195CDC"/>
    <w:rsid w:val="001B3059"/>
    <w:rsid w:val="001B5D77"/>
    <w:rsid w:val="001C3651"/>
    <w:rsid w:val="001C7795"/>
    <w:rsid w:val="001D4776"/>
    <w:rsid w:val="001D63EF"/>
    <w:rsid w:val="001E2C50"/>
    <w:rsid w:val="001E4000"/>
    <w:rsid w:val="001E7BFC"/>
    <w:rsid w:val="001F1632"/>
    <w:rsid w:val="001F3571"/>
    <w:rsid w:val="001F3DCB"/>
    <w:rsid w:val="001F677D"/>
    <w:rsid w:val="001F7688"/>
    <w:rsid w:val="00201CB8"/>
    <w:rsid w:val="00204EDE"/>
    <w:rsid w:val="00205286"/>
    <w:rsid w:val="00216319"/>
    <w:rsid w:val="00216B01"/>
    <w:rsid w:val="0021772F"/>
    <w:rsid w:val="002222AA"/>
    <w:rsid w:val="00222B99"/>
    <w:rsid w:val="00225B7A"/>
    <w:rsid w:val="00225E4F"/>
    <w:rsid w:val="00230C60"/>
    <w:rsid w:val="002362E5"/>
    <w:rsid w:val="00237CF9"/>
    <w:rsid w:val="00240DE4"/>
    <w:rsid w:val="00245668"/>
    <w:rsid w:val="00250BAE"/>
    <w:rsid w:val="0025734D"/>
    <w:rsid w:val="0026437F"/>
    <w:rsid w:val="00264E04"/>
    <w:rsid w:val="00270F76"/>
    <w:rsid w:val="002713F7"/>
    <w:rsid w:val="00272D9C"/>
    <w:rsid w:val="00275C19"/>
    <w:rsid w:val="002908A7"/>
    <w:rsid w:val="00297E78"/>
    <w:rsid w:val="002A11E8"/>
    <w:rsid w:val="002A4458"/>
    <w:rsid w:val="002B4EED"/>
    <w:rsid w:val="002B5130"/>
    <w:rsid w:val="002B6548"/>
    <w:rsid w:val="002C1C82"/>
    <w:rsid w:val="002C3E9D"/>
    <w:rsid w:val="002C7696"/>
    <w:rsid w:val="002D1325"/>
    <w:rsid w:val="002D33AF"/>
    <w:rsid w:val="002D3AE8"/>
    <w:rsid w:val="002D4BE5"/>
    <w:rsid w:val="002D6A2C"/>
    <w:rsid w:val="002E1FDE"/>
    <w:rsid w:val="002E298F"/>
    <w:rsid w:val="002E6094"/>
    <w:rsid w:val="002E79B6"/>
    <w:rsid w:val="002F1BF2"/>
    <w:rsid w:val="002F344D"/>
    <w:rsid w:val="002F54DC"/>
    <w:rsid w:val="002F5856"/>
    <w:rsid w:val="002F5AB3"/>
    <w:rsid w:val="00300CDE"/>
    <w:rsid w:val="0030140C"/>
    <w:rsid w:val="00301691"/>
    <w:rsid w:val="00304210"/>
    <w:rsid w:val="0030665E"/>
    <w:rsid w:val="00306E9A"/>
    <w:rsid w:val="00311451"/>
    <w:rsid w:val="003122AD"/>
    <w:rsid w:val="00312438"/>
    <w:rsid w:val="00312AAA"/>
    <w:rsid w:val="00317C59"/>
    <w:rsid w:val="00321AFB"/>
    <w:rsid w:val="00323981"/>
    <w:rsid w:val="003242AD"/>
    <w:rsid w:val="00325E4C"/>
    <w:rsid w:val="0033210F"/>
    <w:rsid w:val="0033690D"/>
    <w:rsid w:val="00336A93"/>
    <w:rsid w:val="00343C2C"/>
    <w:rsid w:val="00343CDA"/>
    <w:rsid w:val="003443D9"/>
    <w:rsid w:val="0034537C"/>
    <w:rsid w:val="00354588"/>
    <w:rsid w:val="00354EB6"/>
    <w:rsid w:val="00364BDB"/>
    <w:rsid w:val="00364F03"/>
    <w:rsid w:val="00366592"/>
    <w:rsid w:val="0036680E"/>
    <w:rsid w:val="00370758"/>
    <w:rsid w:val="00373049"/>
    <w:rsid w:val="00373B5C"/>
    <w:rsid w:val="00374EB8"/>
    <w:rsid w:val="00374F38"/>
    <w:rsid w:val="00375B86"/>
    <w:rsid w:val="0038067E"/>
    <w:rsid w:val="00384662"/>
    <w:rsid w:val="0038649D"/>
    <w:rsid w:val="003877C3"/>
    <w:rsid w:val="00396281"/>
    <w:rsid w:val="00397F9C"/>
    <w:rsid w:val="003A04F0"/>
    <w:rsid w:val="003A2DDB"/>
    <w:rsid w:val="003A6452"/>
    <w:rsid w:val="003A724F"/>
    <w:rsid w:val="003B3405"/>
    <w:rsid w:val="003B50A9"/>
    <w:rsid w:val="003B5C43"/>
    <w:rsid w:val="003C16D0"/>
    <w:rsid w:val="003C3F6F"/>
    <w:rsid w:val="003D11C4"/>
    <w:rsid w:val="003D6C92"/>
    <w:rsid w:val="003D7E06"/>
    <w:rsid w:val="003E34A9"/>
    <w:rsid w:val="003E4ABD"/>
    <w:rsid w:val="003E71C2"/>
    <w:rsid w:val="003E7EBA"/>
    <w:rsid w:val="003F0B64"/>
    <w:rsid w:val="00401A37"/>
    <w:rsid w:val="00402445"/>
    <w:rsid w:val="004119A3"/>
    <w:rsid w:val="00412AD5"/>
    <w:rsid w:val="0041510F"/>
    <w:rsid w:val="00416131"/>
    <w:rsid w:val="00417494"/>
    <w:rsid w:val="00425FA4"/>
    <w:rsid w:val="0042753A"/>
    <w:rsid w:val="004309F3"/>
    <w:rsid w:val="004328B1"/>
    <w:rsid w:val="004338CD"/>
    <w:rsid w:val="0044605A"/>
    <w:rsid w:val="004508E8"/>
    <w:rsid w:val="00457768"/>
    <w:rsid w:val="0046047B"/>
    <w:rsid w:val="00463083"/>
    <w:rsid w:val="00465533"/>
    <w:rsid w:val="00471168"/>
    <w:rsid w:val="004733F4"/>
    <w:rsid w:val="00474A22"/>
    <w:rsid w:val="004842F6"/>
    <w:rsid w:val="0048460A"/>
    <w:rsid w:val="00486FF3"/>
    <w:rsid w:val="004879D9"/>
    <w:rsid w:val="00497BB6"/>
    <w:rsid w:val="004A0D85"/>
    <w:rsid w:val="004A1A33"/>
    <w:rsid w:val="004A256A"/>
    <w:rsid w:val="004A499A"/>
    <w:rsid w:val="004A6409"/>
    <w:rsid w:val="004A6C7F"/>
    <w:rsid w:val="004B05D2"/>
    <w:rsid w:val="004B1D37"/>
    <w:rsid w:val="004B2C8C"/>
    <w:rsid w:val="004C114D"/>
    <w:rsid w:val="004C331D"/>
    <w:rsid w:val="004C3A34"/>
    <w:rsid w:val="004C6646"/>
    <w:rsid w:val="004C6B42"/>
    <w:rsid w:val="004D49CE"/>
    <w:rsid w:val="004D5DAC"/>
    <w:rsid w:val="004D67C3"/>
    <w:rsid w:val="004E0330"/>
    <w:rsid w:val="004F005C"/>
    <w:rsid w:val="004F174C"/>
    <w:rsid w:val="004F1A60"/>
    <w:rsid w:val="004F1EB3"/>
    <w:rsid w:val="004F2623"/>
    <w:rsid w:val="00500038"/>
    <w:rsid w:val="00503229"/>
    <w:rsid w:val="00504844"/>
    <w:rsid w:val="005072A9"/>
    <w:rsid w:val="00507655"/>
    <w:rsid w:val="00507C09"/>
    <w:rsid w:val="00515915"/>
    <w:rsid w:val="00515D92"/>
    <w:rsid w:val="00515FE9"/>
    <w:rsid w:val="00517CBF"/>
    <w:rsid w:val="00520526"/>
    <w:rsid w:val="0052274B"/>
    <w:rsid w:val="00523981"/>
    <w:rsid w:val="005247CD"/>
    <w:rsid w:val="0052737C"/>
    <w:rsid w:val="00533AE6"/>
    <w:rsid w:val="0053412D"/>
    <w:rsid w:val="0053435F"/>
    <w:rsid w:val="005345B2"/>
    <w:rsid w:val="00540533"/>
    <w:rsid w:val="00542AD7"/>
    <w:rsid w:val="00544A8E"/>
    <w:rsid w:val="00551327"/>
    <w:rsid w:val="0055635F"/>
    <w:rsid w:val="00556767"/>
    <w:rsid w:val="005572E7"/>
    <w:rsid w:val="0056407E"/>
    <w:rsid w:val="00564296"/>
    <w:rsid w:val="00564A3E"/>
    <w:rsid w:val="00570612"/>
    <w:rsid w:val="0057160F"/>
    <w:rsid w:val="0058076C"/>
    <w:rsid w:val="00580924"/>
    <w:rsid w:val="0058427E"/>
    <w:rsid w:val="00586F14"/>
    <w:rsid w:val="00587CA5"/>
    <w:rsid w:val="005953AB"/>
    <w:rsid w:val="00595CCD"/>
    <w:rsid w:val="005A003C"/>
    <w:rsid w:val="005A15DC"/>
    <w:rsid w:val="005A483D"/>
    <w:rsid w:val="005A6948"/>
    <w:rsid w:val="005B2066"/>
    <w:rsid w:val="005B36D6"/>
    <w:rsid w:val="005B4CC2"/>
    <w:rsid w:val="005C12C0"/>
    <w:rsid w:val="005C1EFE"/>
    <w:rsid w:val="005C3003"/>
    <w:rsid w:val="005D0BD4"/>
    <w:rsid w:val="005D151C"/>
    <w:rsid w:val="005D1E07"/>
    <w:rsid w:val="005D2AD9"/>
    <w:rsid w:val="005D5445"/>
    <w:rsid w:val="005E250F"/>
    <w:rsid w:val="005E47C7"/>
    <w:rsid w:val="005E510D"/>
    <w:rsid w:val="005E6E64"/>
    <w:rsid w:val="005E72B1"/>
    <w:rsid w:val="005E74AE"/>
    <w:rsid w:val="005E7DC3"/>
    <w:rsid w:val="005F081B"/>
    <w:rsid w:val="005F1DF8"/>
    <w:rsid w:val="005F2048"/>
    <w:rsid w:val="005F4D29"/>
    <w:rsid w:val="00602CA2"/>
    <w:rsid w:val="00616375"/>
    <w:rsid w:val="00620A5A"/>
    <w:rsid w:val="00636EE6"/>
    <w:rsid w:val="00637077"/>
    <w:rsid w:val="00640FD2"/>
    <w:rsid w:val="006423BA"/>
    <w:rsid w:val="00644344"/>
    <w:rsid w:val="00645E83"/>
    <w:rsid w:val="006472A4"/>
    <w:rsid w:val="00654FED"/>
    <w:rsid w:val="00657C58"/>
    <w:rsid w:val="006609F3"/>
    <w:rsid w:val="00661A5C"/>
    <w:rsid w:val="006625ED"/>
    <w:rsid w:val="00662A8A"/>
    <w:rsid w:val="00663089"/>
    <w:rsid w:val="00663CF1"/>
    <w:rsid w:val="006646B1"/>
    <w:rsid w:val="00667161"/>
    <w:rsid w:val="006704A6"/>
    <w:rsid w:val="00672211"/>
    <w:rsid w:val="0067250F"/>
    <w:rsid w:val="00672981"/>
    <w:rsid w:val="00676028"/>
    <w:rsid w:val="006767CD"/>
    <w:rsid w:val="006856C0"/>
    <w:rsid w:val="006A3EE4"/>
    <w:rsid w:val="006A45C5"/>
    <w:rsid w:val="006A4CFB"/>
    <w:rsid w:val="006B125D"/>
    <w:rsid w:val="006B6A0F"/>
    <w:rsid w:val="006C05EB"/>
    <w:rsid w:val="006C4BA9"/>
    <w:rsid w:val="006C5DF8"/>
    <w:rsid w:val="006D2469"/>
    <w:rsid w:val="006D5CC3"/>
    <w:rsid w:val="006E01F5"/>
    <w:rsid w:val="006E708D"/>
    <w:rsid w:val="006F0D6C"/>
    <w:rsid w:val="006F573A"/>
    <w:rsid w:val="00701504"/>
    <w:rsid w:val="00701D84"/>
    <w:rsid w:val="0070348C"/>
    <w:rsid w:val="007109A7"/>
    <w:rsid w:val="00712567"/>
    <w:rsid w:val="007244B5"/>
    <w:rsid w:val="0072452D"/>
    <w:rsid w:val="007330E1"/>
    <w:rsid w:val="007461D4"/>
    <w:rsid w:val="00747CE0"/>
    <w:rsid w:val="007509DF"/>
    <w:rsid w:val="00751D9D"/>
    <w:rsid w:val="00754E2D"/>
    <w:rsid w:val="007627BB"/>
    <w:rsid w:val="00762BF8"/>
    <w:rsid w:val="0076500D"/>
    <w:rsid w:val="007655E2"/>
    <w:rsid w:val="0077028C"/>
    <w:rsid w:val="00773C31"/>
    <w:rsid w:val="0078712D"/>
    <w:rsid w:val="007955CA"/>
    <w:rsid w:val="00795C14"/>
    <w:rsid w:val="00797A9B"/>
    <w:rsid w:val="007A29A9"/>
    <w:rsid w:val="007A3C53"/>
    <w:rsid w:val="007A6E44"/>
    <w:rsid w:val="007A7894"/>
    <w:rsid w:val="007B22FB"/>
    <w:rsid w:val="007B639A"/>
    <w:rsid w:val="007B738D"/>
    <w:rsid w:val="007C1699"/>
    <w:rsid w:val="007C17A3"/>
    <w:rsid w:val="007C5BF9"/>
    <w:rsid w:val="007D1D91"/>
    <w:rsid w:val="007D2B07"/>
    <w:rsid w:val="007D4625"/>
    <w:rsid w:val="007D6984"/>
    <w:rsid w:val="007D77A5"/>
    <w:rsid w:val="007D7EB8"/>
    <w:rsid w:val="007E09A2"/>
    <w:rsid w:val="007E21CA"/>
    <w:rsid w:val="007E2720"/>
    <w:rsid w:val="007E3DC9"/>
    <w:rsid w:val="007E449D"/>
    <w:rsid w:val="007E6648"/>
    <w:rsid w:val="007F3EBD"/>
    <w:rsid w:val="007F480C"/>
    <w:rsid w:val="007F5AA8"/>
    <w:rsid w:val="007F63F2"/>
    <w:rsid w:val="007F7840"/>
    <w:rsid w:val="008006C5"/>
    <w:rsid w:val="00804484"/>
    <w:rsid w:val="00804B4C"/>
    <w:rsid w:val="00805117"/>
    <w:rsid w:val="00810748"/>
    <w:rsid w:val="008111F5"/>
    <w:rsid w:val="00811DA5"/>
    <w:rsid w:val="0081796A"/>
    <w:rsid w:val="00817D0F"/>
    <w:rsid w:val="00823B5F"/>
    <w:rsid w:val="00834997"/>
    <w:rsid w:val="00836FB4"/>
    <w:rsid w:val="00843AF6"/>
    <w:rsid w:val="00843D3E"/>
    <w:rsid w:val="008458F1"/>
    <w:rsid w:val="00846F55"/>
    <w:rsid w:val="00847A69"/>
    <w:rsid w:val="00850C84"/>
    <w:rsid w:val="0085171D"/>
    <w:rsid w:val="00852114"/>
    <w:rsid w:val="00855929"/>
    <w:rsid w:val="00856FAB"/>
    <w:rsid w:val="00864DD7"/>
    <w:rsid w:val="008816A5"/>
    <w:rsid w:val="00881988"/>
    <w:rsid w:val="0088354D"/>
    <w:rsid w:val="00886EB8"/>
    <w:rsid w:val="00887B80"/>
    <w:rsid w:val="008918E1"/>
    <w:rsid w:val="00893056"/>
    <w:rsid w:val="00897AD2"/>
    <w:rsid w:val="008A0FEA"/>
    <w:rsid w:val="008A1932"/>
    <w:rsid w:val="008A44B0"/>
    <w:rsid w:val="008A4C50"/>
    <w:rsid w:val="008A4D3C"/>
    <w:rsid w:val="008A5A64"/>
    <w:rsid w:val="008A6B50"/>
    <w:rsid w:val="008B0506"/>
    <w:rsid w:val="008B1AF7"/>
    <w:rsid w:val="008B2836"/>
    <w:rsid w:val="008B7B6A"/>
    <w:rsid w:val="008C011E"/>
    <w:rsid w:val="008C3083"/>
    <w:rsid w:val="008C5F43"/>
    <w:rsid w:val="008C6B22"/>
    <w:rsid w:val="008D32F7"/>
    <w:rsid w:val="008E132C"/>
    <w:rsid w:val="008E1E59"/>
    <w:rsid w:val="008E2855"/>
    <w:rsid w:val="008E4EBC"/>
    <w:rsid w:val="008E669E"/>
    <w:rsid w:val="008E6906"/>
    <w:rsid w:val="008E709D"/>
    <w:rsid w:val="008E781D"/>
    <w:rsid w:val="008F42A1"/>
    <w:rsid w:val="008F514F"/>
    <w:rsid w:val="00903C9B"/>
    <w:rsid w:val="009045F9"/>
    <w:rsid w:val="00907BCF"/>
    <w:rsid w:val="00910643"/>
    <w:rsid w:val="0091172D"/>
    <w:rsid w:val="00917621"/>
    <w:rsid w:val="00926469"/>
    <w:rsid w:val="0093027D"/>
    <w:rsid w:val="009311F3"/>
    <w:rsid w:val="0093134D"/>
    <w:rsid w:val="00932D28"/>
    <w:rsid w:val="009339CD"/>
    <w:rsid w:val="00936FF3"/>
    <w:rsid w:val="009408C3"/>
    <w:rsid w:val="009424D0"/>
    <w:rsid w:val="0094340F"/>
    <w:rsid w:val="00944410"/>
    <w:rsid w:val="0094755D"/>
    <w:rsid w:val="00957269"/>
    <w:rsid w:val="0095765C"/>
    <w:rsid w:val="00962568"/>
    <w:rsid w:val="0096324D"/>
    <w:rsid w:val="009656DD"/>
    <w:rsid w:val="00965CA6"/>
    <w:rsid w:val="00966437"/>
    <w:rsid w:val="00983326"/>
    <w:rsid w:val="009926AF"/>
    <w:rsid w:val="00993164"/>
    <w:rsid w:val="00995352"/>
    <w:rsid w:val="00995A3E"/>
    <w:rsid w:val="009A556E"/>
    <w:rsid w:val="009A7DE0"/>
    <w:rsid w:val="009B1DE2"/>
    <w:rsid w:val="009B3F14"/>
    <w:rsid w:val="009B407A"/>
    <w:rsid w:val="009B6830"/>
    <w:rsid w:val="009B7C6E"/>
    <w:rsid w:val="009C299C"/>
    <w:rsid w:val="009C466D"/>
    <w:rsid w:val="009C5FA9"/>
    <w:rsid w:val="009C6DEF"/>
    <w:rsid w:val="009C7597"/>
    <w:rsid w:val="009D17A0"/>
    <w:rsid w:val="009D44FF"/>
    <w:rsid w:val="009D65F4"/>
    <w:rsid w:val="009E2C3C"/>
    <w:rsid w:val="009E7985"/>
    <w:rsid w:val="00A00A86"/>
    <w:rsid w:val="00A03F18"/>
    <w:rsid w:val="00A041FB"/>
    <w:rsid w:val="00A06312"/>
    <w:rsid w:val="00A06AAA"/>
    <w:rsid w:val="00A10315"/>
    <w:rsid w:val="00A11DBF"/>
    <w:rsid w:val="00A135A6"/>
    <w:rsid w:val="00A2276B"/>
    <w:rsid w:val="00A234C4"/>
    <w:rsid w:val="00A237D0"/>
    <w:rsid w:val="00A2555D"/>
    <w:rsid w:val="00A25A6E"/>
    <w:rsid w:val="00A32257"/>
    <w:rsid w:val="00A40000"/>
    <w:rsid w:val="00A41BDC"/>
    <w:rsid w:val="00A425E5"/>
    <w:rsid w:val="00A505AD"/>
    <w:rsid w:val="00A51C54"/>
    <w:rsid w:val="00A55EB0"/>
    <w:rsid w:val="00A61A3B"/>
    <w:rsid w:val="00A635C5"/>
    <w:rsid w:val="00A63C80"/>
    <w:rsid w:val="00A648D3"/>
    <w:rsid w:val="00A6775A"/>
    <w:rsid w:val="00A67767"/>
    <w:rsid w:val="00A75456"/>
    <w:rsid w:val="00A81664"/>
    <w:rsid w:val="00A82A5C"/>
    <w:rsid w:val="00A83289"/>
    <w:rsid w:val="00A83720"/>
    <w:rsid w:val="00A84C9F"/>
    <w:rsid w:val="00A8512C"/>
    <w:rsid w:val="00A85640"/>
    <w:rsid w:val="00A87DAD"/>
    <w:rsid w:val="00A923F5"/>
    <w:rsid w:val="00A944A2"/>
    <w:rsid w:val="00A95503"/>
    <w:rsid w:val="00A97980"/>
    <w:rsid w:val="00AA5DA0"/>
    <w:rsid w:val="00AB091C"/>
    <w:rsid w:val="00AB154A"/>
    <w:rsid w:val="00AB2084"/>
    <w:rsid w:val="00AB2A75"/>
    <w:rsid w:val="00AB3029"/>
    <w:rsid w:val="00AB30C0"/>
    <w:rsid w:val="00AB5A95"/>
    <w:rsid w:val="00AB6869"/>
    <w:rsid w:val="00AC1FEE"/>
    <w:rsid w:val="00AC2756"/>
    <w:rsid w:val="00AC3041"/>
    <w:rsid w:val="00AC4B7E"/>
    <w:rsid w:val="00AD4E89"/>
    <w:rsid w:val="00AD4F3D"/>
    <w:rsid w:val="00AD7981"/>
    <w:rsid w:val="00AE4382"/>
    <w:rsid w:val="00AE6B73"/>
    <w:rsid w:val="00AF2099"/>
    <w:rsid w:val="00AF44B1"/>
    <w:rsid w:val="00AF4C88"/>
    <w:rsid w:val="00AF7DA0"/>
    <w:rsid w:val="00B01E43"/>
    <w:rsid w:val="00B02E40"/>
    <w:rsid w:val="00B057AB"/>
    <w:rsid w:val="00B05877"/>
    <w:rsid w:val="00B05E1A"/>
    <w:rsid w:val="00B11865"/>
    <w:rsid w:val="00B14BE8"/>
    <w:rsid w:val="00B273DC"/>
    <w:rsid w:val="00B31A89"/>
    <w:rsid w:val="00B32F9A"/>
    <w:rsid w:val="00B3391B"/>
    <w:rsid w:val="00B40893"/>
    <w:rsid w:val="00B41271"/>
    <w:rsid w:val="00B43370"/>
    <w:rsid w:val="00B4547E"/>
    <w:rsid w:val="00B469DA"/>
    <w:rsid w:val="00B473DE"/>
    <w:rsid w:val="00B4756B"/>
    <w:rsid w:val="00B477D0"/>
    <w:rsid w:val="00B502E8"/>
    <w:rsid w:val="00B50FDA"/>
    <w:rsid w:val="00B5252D"/>
    <w:rsid w:val="00B5382E"/>
    <w:rsid w:val="00B53CE9"/>
    <w:rsid w:val="00B56F09"/>
    <w:rsid w:val="00B626FE"/>
    <w:rsid w:val="00B65CCD"/>
    <w:rsid w:val="00B67B69"/>
    <w:rsid w:val="00B7715E"/>
    <w:rsid w:val="00B82702"/>
    <w:rsid w:val="00BA067A"/>
    <w:rsid w:val="00BA1498"/>
    <w:rsid w:val="00BA2C2F"/>
    <w:rsid w:val="00BA2EBA"/>
    <w:rsid w:val="00BA3B4B"/>
    <w:rsid w:val="00BA44E5"/>
    <w:rsid w:val="00BA6513"/>
    <w:rsid w:val="00BA7C98"/>
    <w:rsid w:val="00BB29AD"/>
    <w:rsid w:val="00BB7CC5"/>
    <w:rsid w:val="00BC3737"/>
    <w:rsid w:val="00BC67E5"/>
    <w:rsid w:val="00BD1550"/>
    <w:rsid w:val="00BD1ADC"/>
    <w:rsid w:val="00BD2E74"/>
    <w:rsid w:val="00BD4813"/>
    <w:rsid w:val="00BD691F"/>
    <w:rsid w:val="00BD76C3"/>
    <w:rsid w:val="00BD7D51"/>
    <w:rsid w:val="00BE2FB3"/>
    <w:rsid w:val="00BF0ECE"/>
    <w:rsid w:val="00BF27E3"/>
    <w:rsid w:val="00BF3763"/>
    <w:rsid w:val="00BF476A"/>
    <w:rsid w:val="00C073F8"/>
    <w:rsid w:val="00C103AD"/>
    <w:rsid w:val="00C1043D"/>
    <w:rsid w:val="00C13F6E"/>
    <w:rsid w:val="00C144A3"/>
    <w:rsid w:val="00C1493E"/>
    <w:rsid w:val="00C155F1"/>
    <w:rsid w:val="00C17D00"/>
    <w:rsid w:val="00C206D7"/>
    <w:rsid w:val="00C2178C"/>
    <w:rsid w:val="00C228A2"/>
    <w:rsid w:val="00C2391E"/>
    <w:rsid w:val="00C26E67"/>
    <w:rsid w:val="00C30577"/>
    <w:rsid w:val="00C40351"/>
    <w:rsid w:val="00C4258E"/>
    <w:rsid w:val="00C446F7"/>
    <w:rsid w:val="00C457D0"/>
    <w:rsid w:val="00C508B4"/>
    <w:rsid w:val="00C52C55"/>
    <w:rsid w:val="00C53271"/>
    <w:rsid w:val="00C5682C"/>
    <w:rsid w:val="00C6038F"/>
    <w:rsid w:val="00C61B97"/>
    <w:rsid w:val="00C658A9"/>
    <w:rsid w:val="00C662B2"/>
    <w:rsid w:val="00C708D6"/>
    <w:rsid w:val="00C7233A"/>
    <w:rsid w:val="00C7737B"/>
    <w:rsid w:val="00C77519"/>
    <w:rsid w:val="00C77716"/>
    <w:rsid w:val="00C77811"/>
    <w:rsid w:val="00C81936"/>
    <w:rsid w:val="00C8289B"/>
    <w:rsid w:val="00C83548"/>
    <w:rsid w:val="00C84ECE"/>
    <w:rsid w:val="00C862C1"/>
    <w:rsid w:val="00C86551"/>
    <w:rsid w:val="00C92BC3"/>
    <w:rsid w:val="00C96357"/>
    <w:rsid w:val="00CA1C8F"/>
    <w:rsid w:val="00CA25E3"/>
    <w:rsid w:val="00CA2F87"/>
    <w:rsid w:val="00CA433F"/>
    <w:rsid w:val="00CA7AA2"/>
    <w:rsid w:val="00CB2951"/>
    <w:rsid w:val="00CB3CDF"/>
    <w:rsid w:val="00CB4964"/>
    <w:rsid w:val="00CC0EB6"/>
    <w:rsid w:val="00CC14CC"/>
    <w:rsid w:val="00CC4674"/>
    <w:rsid w:val="00CD0891"/>
    <w:rsid w:val="00CD2B16"/>
    <w:rsid w:val="00CD416A"/>
    <w:rsid w:val="00CD43A9"/>
    <w:rsid w:val="00CD61F4"/>
    <w:rsid w:val="00CD6714"/>
    <w:rsid w:val="00CE0837"/>
    <w:rsid w:val="00CE2299"/>
    <w:rsid w:val="00CE73D6"/>
    <w:rsid w:val="00CF0211"/>
    <w:rsid w:val="00CF0412"/>
    <w:rsid w:val="00CF067A"/>
    <w:rsid w:val="00CF26CD"/>
    <w:rsid w:val="00CF3C72"/>
    <w:rsid w:val="00CF42FD"/>
    <w:rsid w:val="00CF4308"/>
    <w:rsid w:val="00CF647B"/>
    <w:rsid w:val="00CF74FF"/>
    <w:rsid w:val="00D009DC"/>
    <w:rsid w:val="00D01616"/>
    <w:rsid w:val="00D072C9"/>
    <w:rsid w:val="00D111CA"/>
    <w:rsid w:val="00D1272C"/>
    <w:rsid w:val="00D14542"/>
    <w:rsid w:val="00D16C01"/>
    <w:rsid w:val="00D17639"/>
    <w:rsid w:val="00D20C39"/>
    <w:rsid w:val="00D24371"/>
    <w:rsid w:val="00D25EDA"/>
    <w:rsid w:val="00D27866"/>
    <w:rsid w:val="00D3313F"/>
    <w:rsid w:val="00D33CCC"/>
    <w:rsid w:val="00D34381"/>
    <w:rsid w:val="00D37727"/>
    <w:rsid w:val="00D40D07"/>
    <w:rsid w:val="00D532E1"/>
    <w:rsid w:val="00D53B34"/>
    <w:rsid w:val="00D53C92"/>
    <w:rsid w:val="00D56B71"/>
    <w:rsid w:val="00D666A6"/>
    <w:rsid w:val="00D676F4"/>
    <w:rsid w:val="00D71A6C"/>
    <w:rsid w:val="00D7391B"/>
    <w:rsid w:val="00D74C93"/>
    <w:rsid w:val="00D80EFF"/>
    <w:rsid w:val="00D8150E"/>
    <w:rsid w:val="00D85D92"/>
    <w:rsid w:val="00D86B0B"/>
    <w:rsid w:val="00D87906"/>
    <w:rsid w:val="00D93FA7"/>
    <w:rsid w:val="00D96F0B"/>
    <w:rsid w:val="00D97380"/>
    <w:rsid w:val="00DA0422"/>
    <w:rsid w:val="00DA317A"/>
    <w:rsid w:val="00DB081E"/>
    <w:rsid w:val="00DB608D"/>
    <w:rsid w:val="00DB6F87"/>
    <w:rsid w:val="00DB7D13"/>
    <w:rsid w:val="00DC0186"/>
    <w:rsid w:val="00DC3F52"/>
    <w:rsid w:val="00DC5C01"/>
    <w:rsid w:val="00DD3C90"/>
    <w:rsid w:val="00DD3EC8"/>
    <w:rsid w:val="00DD6F26"/>
    <w:rsid w:val="00DE206C"/>
    <w:rsid w:val="00DE38AB"/>
    <w:rsid w:val="00DE6664"/>
    <w:rsid w:val="00DE6CF3"/>
    <w:rsid w:val="00DE7846"/>
    <w:rsid w:val="00DF0126"/>
    <w:rsid w:val="00DF0E8B"/>
    <w:rsid w:val="00DF3DEB"/>
    <w:rsid w:val="00DF57F7"/>
    <w:rsid w:val="00E005CB"/>
    <w:rsid w:val="00E013DE"/>
    <w:rsid w:val="00E03DE9"/>
    <w:rsid w:val="00E04772"/>
    <w:rsid w:val="00E069A1"/>
    <w:rsid w:val="00E07A85"/>
    <w:rsid w:val="00E07B8A"/>
    <w:rsid w:val="00E148DB"/>
    <w:rsid w:val="00E161DE"/>
    <w:rsid w:val="00E16CE6"/>
    <w:rsid w:val="00E172C1"/>
    <w:rsid w:val="00E25184"/>
    <w:rsid w:val="00E26676"/>
    <w:rsid w:val="00E26A14"/>
    <w:rsid w:val="00E300AD"/>
    <w:rsid w:val="00E3211E"/>
    <w:rsid w:val="00E3728F"/>
    <w:rsid w:val="00E43CE8"/>
    <w:rsid w:val="00E46116"/>
    <w:rsid w:val="00E47840"/>
    <w:rsid w:val="00E502D7"/>
    <w:rsid w:val="00E55429"/>
    <w:rsid w:val="00E61074"/>
    <w:rsid w:val="00E62A2A"/>
    <w:rsid w:val="00E70503"/>
    <w:rsid w:val="00E73953"/>
    <w:rsid w:val="00E74CAD"/>
    <w:rsid w:val="00E75BB4"/>
    <w:rsid w:val="00E75D7F"/>
    <w:rsid w:val="00E76D74"/>
    <w:rsid w:val="00E814D3"/>
    <w:rsid w:val="00E83578"/>
    <w:rsid w:val="00E85596"/>
    <w:rsid w:val="00E8665D"/>
    <w:rsid w:val="00E90640"/>
    <w:rsid w:val="00E90CDB"/>
    <w:rsid w:val="00E916D9"/>
    <w:rsid w:val="00E932E9"/>
    <w:rsid w:val="00E94EFD"/>
    <w:rsid w:val="00E976FC"/>
    <w:rsid w:val="00EA19A1"/>
    <w:rsid w:val="00EA6196"/>
    <w:rsid w:val="00EA7C25"/>
    <w:rsid w:val="00EB0F71"/>
    <w:rsid w:val="00EB2953"/>
    <w:rsid w:val="00EB2ED4"/>
    <w:rsid w:val="00EB3835"/>
    <w:rsid w:val="00EB4B2F"/>
    <w:rsid w:val="00EB58D7"/>
    <w:rsid w:val="00EB79B5"/>
    <w:rsid w:val="00EC1969"/>
    <w:rsid w:val="00EC2940"/>
    <w:rsid w:val="00EC62E2"/>
    <w:rsid w:val="00ED33DF"/>
    <w:rsid w:val="00ED4848"/>
    <w:rsid w:val="00EE0895"/>
    <w:rsid w:val="00EE2F47"/>
    <w:rsid w:val="00EE6774"/>
    <w:rsid w:val="00EE79FA"/>
    <w:rsid w:val="00EF0B33"/>
    <w:rsid w:val="00EF634B"/>
    <w:rsid w:val="00F00B44"/>
    <w:rsid w:val="00F012F8"/>
    <w:rsid w:val="00F02C7D"/>
    <w:rsid w:val="00F049FC"/>
    <w:rsid w:val="00F167EF"/>
    <w:rsid w:val="00F178EC"/>
    <w:rsid w:val="00F17B5B"/>
    <w:rsid w:val="00F2012C"/>
    <w:rsid w:val="00F268D1"/>
    <w:rsid w:val="00F27B02"/>
    <w:rsid w:val="00F310A7"/>
    <w:rsid w:val="00F34547"/>
    <w:rsid w:val="00F34FAB"/>
    <w:rsid w:val="00F42B5E"/>
    <w:rsid w:val="00F566F9"/>
    <w:rsid w:val="00F603CE"/>
    <w:rsid w:val="00F60A7E"/>
    <w:rsid w:val="00F65CA3"/>
    <w:rsid w:val="00F7116F"/>
    <w:rsid w:val="00F7168F"/>
    <w:rsid w:val="00F71F79"/>
    <w:rsid w:val="00F74E4F"/>
    <w:rsid w:val="00F75665"/>
    <w:rsid w:val="00F81E13"/>
    <w:rsid w:val="00F828D5"/>
    <w:rsid w:val="00F84981"/>
    <w:rsid w:val="00F84ED6"/>
    <w:rsid w:val="00F85553"/>
    <w:rsid w:val="00FA62A3"/>
    <w:rsid w:val="00FB134C"/>
    <w:rsid w:val="00FB7C46"/>
    <w:rsid w:val="00FC24A4"/>
    <w:rsid w:val="00FC24E7"/>
    <w:rsid w:val="00FC4655"/>
    <w:rsid w:val="00FC6FBB"/>
    <w:rsid w:val="00FD3DC8"/>
    <w:rsid w:val="00FD6812"/>
    <w:rsid w:val="00FE1C18"/>
    <w:rsid w:val="00FE2329"/>
    <w:rsid w:val="00FE3A2F"/>
    <w:rsid w:val="00FE3D35"/>
    <w:rsid w:val="00FE7C9F"/>
    <w:rsid w:val="00FF261B"/>
    <w:rsid w:val="00FF3DA3"/>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5BFF7"/>
  <w15:docId w15:val="{076CBC80-D53A-4753-851E-A0569304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5E2"/>
    <w:rPr>
      <w:rFonts w:ascii="Arial" w:hAnsi="Arial"/>
      <w:bCs/>
      <w:sz w:val="24"/>
      <w:lang w:eastAsia="en-US"/>
    </w:rPr>
  </w:style>
  <w:style w:type="paragraph" w:styleId="Heading1">
    <w:name w:val="heading 1"/>
    <w:basedOn w:val="Normal"/>
    <w:next w:val="Normal"/>
    <w:autoRedefine/>
    <w:qFormat/>
    <w:rsid w:val="0033690D"/>
    <w:pPr>
      <w:keepNext/>
      <w:numPr>
        <w:numId w:val="19"/>
      </w:numPr>
      <w:outlineLvl w:val="0"/>
    </w:pPr>
    <w:rPr>
      <w:b/>
    </w:rPr>
  </w:style>
  <w:style w:type="paragraph" w:styleId="Heading2">
    <w:name w:val="heading 2"/>
    <w:basedOn w:val="Normal"/>
    <w:next w:val="Normal"/>
    <w:autoRedefine/>
    <w:qFormat/>
    <w:rsid w:val="000F7751"/>
    <w:pPr>
      <w:keepNext/>
      <w:numPr>
        <w:ilvl w:val="1"/>
        <w:numId w:val="19"/>
      </w:numPr>
      <w:ind w:left="567"/>
      <w:outlineLvl w:val="1"/>
    </w:pPr>
    <w:rPr>
      <w:b/>
    </w:rPr>
  </w:style>
  <w:style w:type="paragraph" w:styleId="Heading3">
    <w:name w:val="heading 3"/>
    <w:basedOn w:val="Normal"/>
    <w:next w:val="Normal"/>
    <w:autoRedefine/>
    <w:qFormat/>
    <w:rsid w:val="00325E4C"/>
    <w:pPr>
      <w:keepNext/>
      <w:numPr>
        <w:ilvl w:val="2"/>
        <w:numId w:val="19"/>
      </w:numPr>
      <w:outlineLvl w:val="2"/>
    </w:pPr>
    <w:rPr>
      <w:b/>
    </w:rPr>
  </w:style>
  <w:style w:type="paragraph" w:styleId="Heading4">
    <w:name w:val="heading 4"/>
    <w:basedOn w:val="Normal"/>
    <w:next w:val="Normal"/>
    <w:autoRedefine/>
    <w:qFormat/>
    <w:rsid w:val="00325E4C"/>
    <w:pPr>
      <w:keepNext/>
      <w:numPr>
        <w:ilvl w:val="3"/>
        <w:numId w:val="19"/>
      </w:numPr>
      <w:outlineLvl w:val="3"/>
    </w:pPr>
    <w:rPr>
      <w:b/>
      <w:bCs w:val="0"/>
    </w:rPr>
  </w:style>
  <w:style w:type="paragraph" w:styleId="Heading5">
    <w:name w:val="heading 5"/>
    <w:basedOn w:val="Normal"/>
    <w:next w:val="Normal"/>
    <w:autoRedefine/>
    <w:qFormat/>
    <w:rsid w:val="00325E4C"/>
    <w:pPr>
      <w:keepNext/>
      <w:numPr>
        <w:ilvl w:val="4"/>
        <w:numId w:val="19"/>
      </w:numPr>
      <w:outlineLvl w:val="4"/>
    </w:pPr>
    <w:rPr>
      <w:b/>
    </w:rPr>
  </w:style>
  <w:style w:type="paragraph" w:styleId="Heading6">
    <w:name w:val="heading 6"/>
    <w:basedOn w:val="Normal"/>
    <w:next w:val="Normal"/>
    <w:autoRedefine/>
    <w:qFormat/>
    <w:rsid w:val="00325E4C"/>
    <w:pPr>
      <w:keepNext/>
      <w:numPr>
        <w:ilvl w:val="5"/>
        <w:numId w:val="19"/>
      </w:numPr>
      <w:tabs>
        <w:tab w:val="left" w:pos="810"/>
        <w:tab w:val="left" w:pos="1710"/>
      </w:tabs>
      <w:outlineLvl w:val="5"/>
    </w:pPr>
    <w:rPr>
      <w:b/>
    </w:rPr>
  </w:style>
  <w:style w:type="paragraph" w:styleId="Heading7">
    <w:name w:val="heading 7"/>
    <w:basedOn w:val="Normal"/>
    <w:next w:val="Normal"/>
    <w:qFormat/>
    <w:rsid w:val="00325E4C"/>
    <w:pPr>
      <w:keepNext/>
      <w:numPr>
        <w:ilvl w:val="6"/>
        <w:numId w:val="19"/>
      </w:numPr>
      <w:jc w:val="center"/>
      <w:outlineLvl w:val="6"/>
    </w:pPr>
  </w:style>
  <w:style w:type="paragraph" w:styleId="Heading8">
    <w:name w:val="heading 8"/>
    <w:basedOn w:val="Normal"/>
    <w:next w:val="Normal"/>
    <w:qFormat/>
    <w:rsid w:val="00325E4C"/>
    <w:pPr>
      <w:keepNext/>
      <w:numPr>
        <w:ilvl w:val="7"/>
        <w:numId w:val="19"/>
      </w:numPr>
      <w:outlineLvl w:val="7"/>
    </w:pPr>
    <w:rPr>
      <w:b/>
    </w:rPr>
  </w:style>
  <w:style w:type="paragraph" w:styleId="Heading9">
    <w:name w:val="heading 9"/>
    <w:basedOn w:val="Normal"/>
    <w:next w:val="Normal"/>
    <w:qFormat/>
    <w:rsid w:val="00325E4C"/>
    <w:pPr>
      <w:keepNext/>
      <w:numPr>
        <w:ilvl w:val="8"/>
        <w:numId w:val="19"/>
      </w:numPr>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54D"/>
    <w:rPr>
      <w:sz w:val="36"/>
    </w:rPr>
  </w:style>
  <w:style w:type="paragraph" w:styleId="Header">
    <w:name w:val="header"/>
    <w:basedOn w:val="Normal"/>
    <w:rsid w:val="0088354D"/>
    <w:pPr>
      <w:tabs>
        <w:tab w:val="center" w:pos="4153"/>
        <w:tab w:val="right" w:pos="8306"/>
      </w:tabs>
    </w:pPr>
    <w:rPr>
      <w:sz w:val="20"/>
    </w:rPr>
  </w:style>
  <w:style w:type="paragraph" w:styleId="Footer">
    <w:name w:val="footer"/>
    <w:basedOn w:val="Normal"/>
    <w:link w:val="FooterChar"/>
    <w:rsid w:val="0088354D"/>
    <w:pPr>
      <w:tabs>
        <w:tab w:val="center" w:pos="4153"/>
        <w:tab w:val="right" w:pos="8306"/>
      </w:tabs>
    </w:pPr>
  </w:style>
  <w:style w:type="character" w:styleId="PageNumber">
    <w:name w:val="page number"/>
    <w:basedOn w:val="DefaultParagraphFont"/>
    <w:rsid w:val="0088354D"/>
  </w:style>
  <w:style w:type="paragraph" w:styleId="Subtitle">
    <w:name w:val="Subtitle"/>
    <w:basedOn w:val="Normal"/>
    <w:qFormat/>
    <w:rsid w:val="0088354D"/>
  </w:style>
  <w:style w:type="paragraph" w:styleId="BodyTextIndent">
    <w:name w:val="Body Text Indent"/>
    <w:basedOn w:val="Normal"/>
    <w:rsid w:val="0088354D"/>
    <w:pPr>
      <w:ind w:left="720" w:hanging="720"/>
    </w:pPr>
  </w:style>
  <w:style w:type="paragraph" w:styleId="BodyTextIndent3">
    <w:name w:val="Body Text Indent 3"/>
    <w:basedOn w:val="Normal"/>
    <w:rsid w:val="0088354D"/>
    <w:pPr>
      <w:ind w:left="720"/>
    </w:pPr>
  </w:style>
  <w:style w:type="paragraph" w:styleId="BodyTextIndent2">
    <w:name w:val="Body Text Indent 2"/>
    <w:basedOn w:val="Normal"/>
    <w:rsid w:val="0088354D"/>
    <w:pPr>
      <w:ind w:left="1800"/>
    </w:pPr>
  </w:style>
  <w:style w:type="paragraph" w:styleId="BodyText2">
    <w:name w:val="Body Text 2"/>
    <w:basedOn w:val="Normal"/>
    <w:rsid w:val="0088354D"/>
  </w:style>
  <w:style w:type="paragraph" w:styleId="BodyText3">
    <w:name w:val="Body Text 3"/>
    <w:basedOn w:val="Normal"/>
    <w:rsid w:val="0088354D"/>
    <w:rPr>
      <w:b/>
      <w:bCs w:val="0"/>
    </w:rPr>
  </w:style>
  <w:style w:type="character" w:styleId="Strong">
    <w:name w:val="Strong"/>
    <w:basedOn w:val="DefaultParagraphFont"/>
    <w:qFormat/>
    <w:rsid w:val="00E8665D"/>
    <w:rPr>
      <w:rFonts w:ascii="Arial" w:hAnsi="Arial"/>
      <w:b/>
      <w:bCs/>
      <w:sz w:val="24"/>
    </w:rPr>
  </w:style>
  <w:style w:type="character" w:styleId="Hyperlink">
    <w:name w:val="Hyperlink"/>
    <w:basedOn w:val="DefaultParagraphFont"/>
    <w:uiPriority w:val="99"/>
    <w:rsid w:val="0088354D"/>
    <w:rPr>
      <w:color w:val="0000FF"/>
      <w:u w:val="single"/>
    </w:rPr>
  </w:style>
  <w:style w:type="character" w:styleId="FollowedHyperlink">
    <w:name w:val="FollowedHyperlink"/>
    <w:basedOn w:val="DefaultParagraphFont"/>
    <w:rsid w:val="0088354D"/>
    <w:rPr>
      <w:color w:val="800080"/>
      <w:u w:val="single"/>
    </w:rPr>
  </w:style>
  <w:style w:type="paragraph" w:styleId="Caption">
    <w:name w:val="caption"/>
    <w:basedOn w:val="Normal"/>
    <w:next w:val="Normal"/>
    <w:qFormat/>
    <w:rsid w:val="0088354D"/>
    <w:rPr>
      <w:b/>
      <w:bCs w:val="0"/>
    </w:rPr>
  </w:style>
  <w:style w:type="paragraph" w:styleId="Title">
    <w:name w:val="Title"/>
    <w:basedOn w:val="Normal"/>
    <w:qFormat/>
    <w:rsid w:val="0088354D"/>
    <w:pPr>
      <w:jc w:val="center"/>
    </w:pPr>
    <w:rPr>
      <w:b/>
      <w:sz w:val="22"/>
      <w:szCs w:val="24"/>
    </w:rPr>
  </w:style>
  <w:style w:type="table" w:styleId="TableGrid">
    <w:name w:val="Table Grid"/>
    <w:basedOn w:val="TableNormal"/>
    <w:rsid w:val="0084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666A6"/>
    <w:rPr>
      <w:bCs/>
      <w:sz w:val="24"/>
      <w:lang w:val="en-GB" w:eastAsia="en-US" w:bidi="ar-SA"/>
    </w:rPr>
  </w:style>
  <w:style w:type="paragraph" w:styleId="BalloonText">
    <w:name w:val="Balloon Text"/>
    <w:basedOn w:val="Normal"/>
    <w:semiHidden/>
    <w:rsid w:val="0044605A"/>
    <w:rPr>
      <w:rFonts w:ascii="Tahoma" w:hAnsi="Tahoma" w:cs="Tahoma"/>
      <w:sz w:val="16"/>
      <w:szCs w:val="16"/>
    </w:rPr>
  </w:style>
  <w:style w:type="paragraph" w:styleId="TOC3">
    <w:name w:val="toc 3"/>
    <w:basedOn w:val="Normal"/>
    <w:next w:val="Normal"/>
    <w:autoRedefine/>
    <w:uiPriority w:val="39"/>
    <w:rsid w:val="004A6C7F"/>
    <w:pPr>
      <w:tabs>
        <w:tab w:val="left" w:pos="1418"/>
        <w:tab w:val="right" w:leader="dot" w:pos="9628"/>
      </w:tabs>
      <w:ind w:left="1418" w:hanging="938"/>
    </w:pPr>
  </w:style>
  <w:style w:type="paragraph" w:styleId="TOC9">
    <w:name w:val="toc 9"/>
    <w:basedOn w:val="Normal"/>
    <w:next w:val="Normal"/>
    <w:autoRedefine/>
    <w:rsid w:val="009311F3"/>
    <w:pPr>
      <w:ind w:left="1920"/>
    </w:pPr>
  </w:style>
  <w:style w:type="paragraph" w:styleId="TOC1">
    <w:name w:val="toc 1"/>
    <w:basedOn w:val="Normal"/>
    <w:next w:val="Normal"/>
    <w:autoRedefine/>
    <w:uiPriority w:val="39"/>
    <w:rsid w:val="00297E78"/>
    <w:pPr>
      <w:tabs>
        <w:tab w:val="left" w:pos="567"/>
        <w:tab w:val="right" w:leader="dot" w:pos="9628"/>
      </w:tabs>
      <w:spacing w:before="40"/>
      <w:ind w:left="567" w:hanging="567"/>
    </w:pPr>
  </w:style>
  <w:style w:type="paragraph" w:styleId="TOC2">
    <w:name w:val="toc 2"/>
    <w:basedOn w:val="Normal"/>
    <w:next w:val="Normal"/>
    <w:autoRedefine/>
    <w:uiPriority w:val="39"/>
    <w:rsid w:val="004A6C7F"/>
    <w:pPr>
      <w:tabs>
        <w:tab w:val="left" w:pos="851"/>
        <w:tab w:val="right" w:leader="dot" w:pos="9628"/>
      </w:tabs>
      <w:ind w:left="851" w:hanging="611"/>
    </w:pPr>
  </w:style>
  <w:style w:type="paragraph" w:styleId="TOC4">
    <w:name w:val="toc 4"/>
    <w:basedOn w:val="Normal"/>
    <w:next w:val="Normal"/>
    <w:autoRedefine/>
    <w:uiPriority w:val="39"/>
    <w:rsid w:val="004A6C7F"/>
    <w:pPr>
      <w:tabs>
        <w:tab w:val="left" w:pos="1701"/>
        <w:tab w:val="right" w:leader="dot" w:pos="9628"/>
      </w:tabs>
      <w:ind w:left="1701" w:hanging="981"/>
    </w:pPr>
  </w:style>
  <w:style w:type="paragraph" w:styleId="ListParagraph">
    <w:name w:val="List Paragraph"/>
    <w:basedOn w:val="Normal"/>
    <w:autoRedefine/>
    <w:uiPriority w:val="34"/>
    <w:qFormat/>
    <w:rsid w:val="00556767"/>
    <w:pPr>
      <w:numPr>
        <w:numId w:val="16"/>
      </w:numPr>
      <w:spacing w:before="120" w:after="120"/>
    </w:pPr>
  </w:style>
  <w:style w:type="paragraph" w:customStyle="1" w:styleId="Appendix">
    <w:name w:val="Appendix"/>
    <w:basedOn w:val="Heading1"/>
    <w:qFormat/>
    <w:rsid w:val="00E61074"/>
    <w:pPr>
      <w:numPr>
        <w:numId w:val="0"/>
      </w:numPr>
    </w:pPr>
  </w:style>
  <w:style w:type="paragraph" w:customStyle="1" w:styleId="BulletLevel1">
    <w:name w:val="Bullet Level 1"/>
    <w:basedOn w:val="Normal"/>
    <w:autoRedefine/>
    <w:qFormat/>
    <w:rsid w:val="00D37727"/>
    <w:pPr>
      <w:numPr>
        <w:numId w:val="11"/>
      </w:numPr>
      <w:tabs>
        <w:tab w:val="left" w:pos="567"/>
        <w:tab w:val="left" w:pos="4536"/>
        <w:tab w:val="left" w:pos="5670"/>
      </w:tabs>
      <w:spacing w:after="120"/>
      <w:ind w:left="567" w:hanging="567"/>
    </w:pPr>
    <w:rPr>
      <w:snapToGrid w:val="0"/>
    </w:rPr>
  </w:style>
  <w:style w:type="paragraph" w:customStyle="1" w:styleId="BulletLevel2">
    <w:name w:val="Bullet Level 2"/>
    <w:basedOn w:val="BulletLevel1"/>
    <w:autoRedefine/>
    <w:qFormat/>
    <w:rsid w:val="00932D28"/>
    <w:pPr>
      <w:numPr>
        <w:numId w:val="5"/>
      </w:numPr>
      <w:tabs>
        <w:tab w:val="left" w:pos="1134"/>
      </w:tabs>
      <w:ind w:left="1134" w:hanging="567"/>
    </w:pPr>
  </w:style>
  <w:style w:type="paragraph" w:customStyle="1" w:styleId="BulletLevel3">
    <w:name w:val="Bullet Level 3"/>
    <w:basedOn w:val="BulletLevel2"/>
    <w:autoRedefine/>
    <w:qFormat/>
    <w:rsid w:val="000D4580"/>
    <w:pPr>
      <w:tabs>
        <w:tab w:val="left" w:pos="1701"/>
      </w:tabs>
      <w:ind w:left="1701"/>
    </w:pPr>
  </w:style>
  <w:style w:type="paragraph" w:customStyle="1" w:styleId="Number3">
    <w:name w:val="Number 3"/>
    <w:basedOn w:val="Normal"/>
    <w:next w:val="ListNumber3"/>
    <w:autoRedefine/>
    <w:qFormat/>
    <w:rsid w:val="00CD2B16"/>
    <w:pPr>
      <w:numPr>
        <w:numId w:val="7"/>
      </w:numPr>
    </w:pPr>
    <w:rPr>
      <w:lang w:val="en-US"/>
    </w:rPr>
  </w:style>
  <w:style w:type="paragraph" w:styleId="ListNumber3">
    <w:name w:val="List Number 3"/>
    <w:basedOn w:val="Normal"/>
    <w:rsid w:val="00CD2B16"/>
    <w:pPr>
      <w:numPr>
        <w:numId w:val="6"/>
      </w:numPr>
      <w:contextualSpacing/>
    </w:pPr>
  </w:style>
  <w:style w:type="paragraph" w:customStyle="1" w:styleId="AppendixYellow">
    <w:name w:val="Appendix Yellow"/>
    <w:basedOn w:val="Normal"/>
    <w:link w:val="AppendixYellowChar"/>
    <w:autoRedefine/>
    <w:qFormat/>
    <w:rsid w:val="00F17B5B"/>
    <w:rPr>
      <w:b/>
    </w:rPr>
  </w:style>
  <w:style w:type="character" w:customStyle="1" w:styleId="AppendixYellowChar">
    <w:name w:val="Appendix Yellow Char"/>
    <w:basedOn w:val="DefaultParagraphFont"/>
    <w:link w:val="AppendixYellow"/>
    <w:rsid w:val="00F17B5B"/>
    <w:rPr>
      <w:rFonts w:ascii="Arial" w:hAnsi="Arial"/>
      <w:b/>
      <w:bCs/>
      <w:sz w:val="24"/>
      <w:lang w:eastAsia="en-US"/>
    </w:rPr>
  </w:style>
  <w:style w:type="paragraph" w:customStyle="1" w:styleId="AppendixAmber">
    <w:name w:val="Appendix Amber"/>
    <w:basedOn w:val="Normal"/>
    <w:link w:val="AppendixAmberChar"/>
    <w:autoRedefine/>
    <w:rsid w:val="0056407E"/>
    <w:pPr>
      <w:keepNext/>
      <w:shd w:val="clear" w:color="auto" w:fill="FFC000"/>
      <w:outlineLvl w:val="0"/>
    </w:pPr>
    <w:rPr>
      <w:b/>
      <w:color w:val="FFFFFF" w:themeColor="background1"/>
    </w:rPr>
  </w:style>
  <w:style w:type="character" w:customStyle="1" w:styleId="AppendixAmberChar">
    <w:name w:val="Appendix Amber Char"/>
    <w:basedOn w:val="DefaultParagraphFont"/>
    <w:link w:val="AppendixAmber"/>
    <w:rsid w:val="0056407E"/>
    <w:rPr>
      <w:rFonts w:ascii="Arial" w:hAnsi="Arial"/>
      <w:b/>
      <w:bCs/>
      <w:color w:val="FFFFFF" w:themeColor="background1"/>
      <w:sz w:val="24"/>
      <w:shd w:val="clear" w:color="auto" w:fill="FFC000"/>
      <w:lang w:eastAsia="en-US"/>
    </w:rPr>
  </w:style>
  <w:style w:type="character" w:styleId="CommentReference">
    <w:name w:val="annotation reference"/>
    <w:basedOn w:val="DefaultParagraphFont"/>
    <w:rsid w:val="00936FF3"/>
    <w:rPr>
      <w:sz w:val="16"/>
      <w:szCs w:val="16"/>
    </w:rPr>
  </w:style>
  <w:style w:type="paragraph" w:styleId="CommentText">
    <w:name w:val="annotation text"/>
    <w:basedOn w:val="Normal"/>
    <w:link w:val="CommentTextChar"/>
    <w:rsid w:val="00936FF3"/>
    <w:rPr>
      <w:sz w:val="20"/>
    </w:rPr>
  </w:style>
  <w:style w:type="character" w:customStyle="1" w:styleId="CommentTextChar">
    <w:name w:val="Comment Text Char"/>
    <w:basedOn w:val="DefaultParagraphFont"/>
    <w:link w:val="CommentText"/>
    <w:rsid w:val="00936FF3"/>
    <w:rPr>
      <w:rFonts w:ascii="Arial" w:hAnsi="Arial"/>
      <w:bCs/>
      <w:lang w:eastAsia="en-US"/>
    </w:rPr>
  </w:style>
  <w:style w:type="paragraph" w:styleId="CommentSubject">
    <w:name w:val="annotation subject"/>
    <w:basedOn w:val="CommentText"/>
    <w:next w:val="CommentText"/>
    <w:link w:val="CommentSubjectChar"/>
    <w:rsid w:val="00936FF3"/>
    <w:rPr>
      <w:b/>
    </w:rPr>
  </w:style>
  <w:style w:type="character" w:customStyle="1" w:styleId="CommentSubjectChar">
    <w:name w:val="Comment Subject Char"/>
    <w:basedOn w:val="CommentTextChar"/>
    <w:link w:val="CommentSubject"/>
    <w:rsid w:val="00936FF3"/>
    <w:rPr>
      <w:rFonts w:ascii="Arial" w:hAnsi="Arial"/>
      <w:b/>
      <w:bCs/>
      <w:lang w:eastAsia="en-US"/>
    </w:rPr>
  </w:style>
  <w:style w:type="paragraph" w:styleId="TOC5">
    <w:name w:val="toc 5"/>
    <w:basedOn w:val="Normal"/>
    <w:next w:val="Normal"/>
    <w:autoRedefine/>
    <w:uiPriority w:val="39"/>
    <w:rsid w:val="00F84981"/>
    <w:pPr>
      <w:spacing w:after="100"/>
      <w:ind w:left="960"/>
    </w:pPr>
  </w:style>
  <w:style w:type="paragraph" w:styleId="NormalWeb">
    <w:name w:val="Normal (Web)"/>
    <w:basedOn w:val="Normal"/>
    <w:uiPriority w:val="99"/>
    <w:unhideWhenUsed/>
    <w:rsid w:val="008111F5"/>
    <w:pPr>
      <w:spacing w:before="100" w:beforeAutospacing="1" w:after="100" w:afterAutospacing="1"/>
    </w:pPr>
    <w:rPr>
      <w:rFonts w:ascii="Times New Roman" w:hAnsi="Times New Roman"/>
      <w:bCs w:val="0"/>
      <w:szCs w:val="24"/>
      <w:lang w:eastAsia="en-GB"/>
    </w:rPr>
  </w:style>
  <w:style w:type="character" w:styleId="PlaceholderText">
    <w:name w:val="Placeholder Text"/>
    <w:basedOn w:val="DefaultParagraphFont"/>
    <w:uiPriority w:val="99"/>
    <w:semiHidden/>
    <w:rsid w:val="00C7233A"/>
    <w:rPr>
      <w:color w:val="808080"/>
    </w:rPr>
  </w:style>
  <w:style w:type="character" w:customStyle="1" w:styleId="Style3">
    <w:name w:val="Style3"/>
    <w:basedOn w:val="DefaultParagraphFont"/>
    <w:uiPriority w:val="1"/>
    <w:rsid w:val="00804484"/>
    <w:rPr>
      <w:rFonts w:ascii="Arial" w:hAnsi="Arial"/>
      <w:b w:val="0"/>
      <w:sz w:val="24"/>
    </w:rPr>
  </w:style>
  <w:style w:type="paragraph" w:styleId="Bibliography">
    <w:name w:val="Bibliography"/>
    <w:basedOn w:val="Normal"/>
    <w:next w:val="Normal"/>
    <w:uiPriority w:val="37"/>
    <w:unhideWhenUsed/>
    <w:rsid w:val="00FD3DC8"/>
    <w:pPr>
      <w:spacing w:after="120"/>
    </w:pPr>
  </w:style>
  <w:style w:type="character" w:customStyle="1" w:styleId="Style1">
    <w:name w:val="Style1"/>
    <w:basedOn w:val="DefaultParagraphFont"/>
    <w:uiPriority w:val="1"/>
    <w:rsid w:val="00012101"/>
    <w:rPr>
      <w:rFonts w:ascii="Arial" w:hAnsi="Arial"/>
      <w:b w:val="0"/>
      <w:sz w:val="24"/>
    </w:rPr>
  </w:style>
  <w:style w:type="character" w:customStyle="1" w:styleId="Style2">
    <w:name w:val="Style2"/>
    <w:basedOn w:val="DefaultParagraphFont"/>
    <w:uiPriority w:val="1"/>
    <w:rsid w:val="00F02C7D"/>
    <w:rPr>
      <w:rFonts w:ascii="Arial" w:hAnsi="Arial"/>
      <w:sz w:val="24"/>
    </w:rPr>
  </w:style>
  <w:style w:type="character" w:customStyle="1" w:styleId="Style4">
    <w:name w:val="Style4"/>
    <w:basedOn w:val="DefaultParagraphFont"/>
    <w:uiPriority w:val="1"/>
    <w:rsid w:val="00F02C7D"/>
    <w:rPr>
      <w:rFonts w:ascii="Arial" w:hAnsi="Arial"/>
      <w:sz w:val="24"/>
    </w:rPr>
  </w:style>
  <w:style w:type="character" w:styleId="UnresolvedMention">
    <w:name w:val="Unresolved Mention"/>
    <w:basedOn w:val="DefaultParagraphFont"/>
    <w:uiPriority w:val="99"/>
    <w:semiHidden/>
    <w:unhideWhenUsed/>
    <w:rsid w:val="00FE3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3947">
      <w:bodyDiv w:val="1"/>
      <w:marLeft w:val="0"/>
      <w:marRight w:val="0"/>
      <w:marTop w:val="0"/>
      <w:marBottom w:val="0"/>
      <w:divBdr>
        <w:top w:val="none" w:sz="0" w:space="0" w:color="auto"/>
        <w:left w:val="none" w:sz="0" w:space="0" w:color="auto"/>
        <w:bottom w:val="none" w:sz="0" w:space="0" w:color="auto"/>
        <w:right w:val="none" w:sz="0" w:space="0" w:color="auto"/>
      </w:divBdr>
    </w:div>
    <w:div w:id="277025179">
      <w:bodyDiv w:val="1"/>
      <w:marLeft w:val="0"/>
      <w:marRight w:val="0"/>
      <w:marTop w:val="0"/>
      <w:marBottom w:val="0"/>
      <w:divBdr>
        <w:top w:val="none" w:sz="0" w:space="0" w:color="auto"/>
        <w:left w:val="none" w:sz="0" w:space="0" w:color="auto"/>
        <w:bottom w:val="none" w:sz="0" w:space="0" w:color="auto"/>
        <w:right w:val="none" w:sz="0" w:space="0" w:color="auto"/>
      </w:divBdr>
    </w:div>
    <w:div w:id="331875473">
      <w:bodyDiv w:val="1"/>
      <w:marLeft w:val="0"/>
      <w:marRight w:val="0"/>
      <w:marTop w:val="0"/>
      <w:marBottom w:val="0"/>
      <w:divBdr>
        <w:top w:val="none" w:sz="0" w:space="0" w:color="auto"/>
        <w:left w:val="none" w:sz="0" w:space="0" w:color="auto"/>
        <w:bottom w:val="none" w:sz="0" w:space="0" w:color="auto"/>
        <w:right w:val="none" w:sz="0" w:space="0" w:color="auto"/>
      </w:divBdr>
    </w:div>
    <w:div w:id="385639865">
      <w:bodyDiv w:val="1"/>
      <w:marLeft w:val="0"/>
      <w:marRight w:val="0"/>
      <w:marTop w:val="0"/>
      <w:marBottom w:val="0"/>
      <w:divBdr>
        <w:top w:val="none" w:sz="0" w:space="0" w:color="auto"/>
        <w:left w:val="none" w:sz="0" w:space="0" w:color="auto"/>
        <w:bottom w:val="none" w:sz="0" w:space="0" w:color="auto"/>
        <w:right w:val="none" w:sz="0" w:space="0" w:color="auto"/>
      </w:divBdr>
    </w:div>
    <w:div w:id="452092747">
      <w:bodyDiv w:val="1"/>
      <w:marLeft w:val="0"/>
      <w:marRight w:val="0"/>
      <w:marTop w:val="0"/>
      <w:marBottom w:val="0"/>
      <w:divBdr>
        <w:top w:val="none" w:sz="0" w:space="0" w:color="auto"/>
        <w:left w:val="none" w:sz="0" w:space="0" w:color="auto"/>
        <w:bottom w:val="none" w:sz="0" w:space="0" w:color="auto"/>
        <w:right w:val="none" w:sz="0" w:space="0" w:color="auto"/>
      </w:divBdr>
    </w:div>
    <w:div w:id="467939111">
      <w:bodyDiv w:val="1"/>
      <w:marLeft w:val="0"/>
      <w:marRight w:val="0"/>
      <w:marTop w:val="0"/>
      <w:marBottom w:val="0"/>
      <w:divBdr>
        <w:top w:val="none" w:sz="0" w:space="0" w:color="auto"/>
        <w:left w:val="none" w:sz="0" w:space="0" w:color="auto"/>
        <w:bottom w:val="none" w:sz="0" w:space="0" w:color="auto"/>
        <w:right w:val="none" w:sz="0" w:space="0" w:color="auto"/>
      </w:divBdr>
    </w:div>
    <w:div w:id="470093955">
      <w:bodyDiv w:val="1"/>
      <w:marLeft w:val="0"/>
      <w:marRight w:val="0"/>
      <w:marTop w:val="0"/>
      <w:marBottom w:val="0"/>
      <w:divBdr>
        <w:top w:val="none" w:sz="0" w:space="0" w:color="auto"/>
        <w:left w:val="none" w:sz="0" w:space="0" w:color="auto"/>
        <w:bottom w:val="none" w:sz="0" w:space="0" w:color="auto"/>
        <w:right w:val="none" w:sz="0" w:space="0" w:color="auto"/>
      </w:divBdr>
    </w:div>
    <w:div w:id="508521962">
      <w:bodyDiv w:val="1"/>
      <w:marLeft w:val="0"/>
      <w:marRight w:val="0"/>
      <w:marTop w:val="0"/>
      <w:marBottom w:val="0"/>
      <w:divBdr>
        <w:top w:val="none" w:sz="0" w:space="0" w:color="auto"/>
        <w:left w:val="none" w:sz="0" w:space="0" w:color="auto"/>
        <w:bottom w:val="none" w:sz="0" w:space="0" w:color="auto"/>
        <w:right w:val="none" w:sz="0" w:space="0" w:color="auto"/>
      </w:divBdr>
    </w:div>
    <w:div w:id="526333059">
      <w:bodyDiv w:val="1"/>
      <w:marLeft w:val="0"/>
      <w:marRight w:val="0"/>
      <w:marTop w:val="0"/>
      <w:marBottom w:val="0"/>
      <w:divBdr>
        <w:top w:val="none" w:sz="0" w:space="0" w:color="auto"/>
        <w:left w:val="none" w:sz="0" w:space="0" w:color="auto"/>
        <w:bottom w:val="none" w:sz="0" w:space="0" w:color="auto"/>
        <w:right w:val="none" w:sz="0" w:space="0" w:color="auto"/>
      </w:divBdr>
    </w:div>
    <w:div w:id="546838746">
      <w:bodyDiv w:val="1"/>
      <w:marLeft w:val="0"/>
      <w:marRight w:val="0"/>
      <w:marTop w:val="0"/>
      <w:marBottom w:val="0"/>
      <w:divBdr>
        <w:top w:val="none" w:sz="0" w:space="0" w:color="auto"/>
        <w:left w:val="none" w:sz="0" w:space="0" w:color="auto"/>
        <w:bottom w:val="none" w:sz="0" w:space="0" w:color="auto"/>
        <w:right w:val="none" w:sz="0" w:space="0" w:color="auto"/>
      </w:divBdr>
    </w:div>
    <w:div w:id="595796669">
      <w:bodyDiv w:val="1"/>
      <w:marLeft w:val="0"/>
      <w:marRight w:val="0"/>
      <w:marTop w:val="0"/>
      <w:marBottom w:val="0"/>
      <w:divBdr>
        <w:top w:val="none" w:sz="0" w:space="0" w:color="auto"/>
        <w:left w:val="none" w:sz="0" w:space="0" w:color="auto"/>
        <w:bottom w:val="none" w:sz="0" w:space="0" w:color="auto"/>
        <w:right w:val="none" w:sz="0" w:space="0" w:color="auto"/>
      </w:divBdr>
    </w:div>
    <w:div w:id="665329512">
      <w:bodyDiv w:val="1"/>
      <w:marLeft w:val="0"/>
      <w:marRight w:val="0"/>
      <w:marTop w:val="0"/>
      <w:marBottom w:val="0"/>
      <w:divBdr>
        <w:top w:val="none" w:sz="0" w:space="0" w:color="auto"/>
        <w:left w:val="none" w:sz="0" w:space="0" w:color="auto"/>
        <w:bottom w:val="none" w:sz="0" w:space="0" w:color="auto"/>
        <w:right w:val="none" w:sz="0" w:space="0" w:color="auto"/>
      </w:divBdr>
    </w:div>
    <w:div w:id="680814540">
      <w:bodyDiv w:val="1"/>
      <w:marLeft w:val="0"/>
      <w:marRight w:val="0"/>
      <w:marTop w:val="0"/>
      <w:marBottom w:val="0"/>
      <w:divBdr>
        <w:top w:val="none" w:sz="0" w:space="0" w:color="auto"/>
        <w:left w:val="none" w:sz="0" w:space="0" w:color="auto"/>
        <w:bottom w:val="none" w:sz="0" w:space="0" w:color="auto"/>
        <w:right w:val="none" w:sz="0" w:space="0" w:color="auto"/>
      </w:divBdr>
    </w:div>
    <w:div w:id="845483533">
      <w:bodyDiv w:val="1"/>
      <w:marLeft w:val="0"/>
      <w:marRight w:val="0"/>
      <w:marTop w:val="0"/>
      <w:marBottom w:val="0"/>
      <w:divBdr>
        <w:top w:val="none" w:sz="0" w:space="0" w:color="auto"/>
        <w:left w:val="none" w:sz="0" w:space="0" w:color="auto"/>
        <w:bottom w:val="none" w:sz="0" w:space="0" w:color="auto"/>
        <w:right w:val="none" w:sz="0" w:space="0" w:color="auto"/>
      </w:divBdr>
    </w:div>
    <w:div w:id="867645299">
      <w:bodyDiv w:val="1"/>
      <w:marLeft w:val="0"/>
      <w:marRight w:val="0"/>
      <w:marTop w:val="0"/>
      <w:marBottom w:val="0"/>
      <w:divBdr>
        <w:top w:val="none" w:sz="0" w:space="0" w:color="auto"/>
        <w:left w:val="none" w:sz="0" w:space="0" w:color="auto"/>
        <w:bottom w:val="none" w:sz="0" w:space="0" w:color="auto"/>
        <w:right w:val="none" w:sz="0" w:space="0" w:color="auto"/>
      </w:divBdr>
    </w:div>
    <w:div w:id="875507598">
      <w:bodyDiv w:val="1"/>
      <w:marLeft w:val="0"/>
      <w:marRight w:val="0"/>
      <w:marTop w:val="0"/>
      <w:marBottom w:val="0"/>
      <w:divBdr>
        <w:top w:val="none" w:sz="0" w:space="0" w:color="auto"/>
        <w:left w:val="none" w:sz="0" w:space="0" w:color="auto"/>
        <w:bottom w:val="none" w:sz="0" w:space="0" w:color="auto"/>
        <w:right w:val="none" w:sz="0" w:space="0" w:color="auto"/>
      </w:divBdr>
    </w:div>
    <w:div w:id="930628086">
      <w:bodyDiv w:val="1"/>
      <w:marLeft w:val="0"/>
      <w:marRight w:val="0"/>
      <w:marTop w:val="0"/>
      <w:marBottom w:val="0"/>
      <w:divBdr>
        <w:top w:val="none" w:sz="0" w:space="0" w:color="auto"/>
        <w:left w:val="none" w:sz="0" w:space="0" w:color="auto"/>
        <w:bottom w:val="none" w:sz="0" w:space="0" w:color="auto"/>
        <w:right w:val="none" w:sz="0" w:space="0" w:color="auto"/>
      </w:divBdr>
    </w:div>
    <w:div w:id="941255161">
      <w:bodyDiv w:val="1"/>
      <w:marLeft w:val="0"/>
      <w:marRight w:val="0"/>
      <w:marTop w:val="0"/>
      <w:marBottom w:val="0"/>
      <w:divBdr>
        <w:top w:val="none" w:sz="0" w:space="0" w:color="auto"/>
        <w:left w:val="none" w:sz="0" w:space="0" w:color="auto"/>
        <w:bottom w:val="none" w:sz="0" w:space="0" w:color="auto"/>
        <w:right w:val="none" w:sz="0" w:space="0" w:color="auto"/>
      </w:divBdr>
    </w:div>
    <w:div w:id="951475733">
      <w:bodyDiv w:val="1"/>
      <w:marLeft w:val="0"/>
      <w:marRight w:val="0"/>
      <w:marTop w:val="0"/>
      <w:marBottom w:val="0"/>
      <w:divBdr>
        <w:top w:val="none" w:sz="0" w:space="0" w:color="auto"/>
        <w:left w:val="none" w:sz="0" w:space="0" w:color="auto"/>
        <w:bottom w:val="none" w:sz="0" w:space="0" w:color="auto"/>
        <w:right w:val="none" w:sz="0" w:space="0" w:color="auto"/>
      </w:divBdr>
    </w:div>
    <w:div w:id="951984595">
      <w:bodyDiv w:val="1"/>
      <w:marLeft w:val="0"/>
      <w:marRight w:val="0"/>
      <w:marTop w:val="0"/>
      <w:marBottom w:val="0"/>
      <w:divBdr>
        <w:top w:val="none" w:sz="0" w:space="0" w:color="auto"/>
        <w:left w:val="none" w:sz="0" w:space="0" w:color="auto"/>
        <w:bottom w:val="none" w:sz="0" w:space="0" w:color="auto"/>
        <w:right w:val="none" w:sz="0" w:space="0" w:color="auto"/>
      </w:divBdr>
    </w:div>
    <w:div w:id="1048995022">
      <w:bodyDiv w:val="1"/>
      <w:marLeft w:val="0"/>
      <w:marRight w:val="0"/>
      <w:marTop w:val="0"/>
      <w:marBottom w:val="0"/>
      <w:divBdr>
        <w:top w:val="none" w:sz="0" w:space="0" w:color="auto"/>
        <w:left w:val="none" w:sz="0" w:space="0" w:color="auto"/>
        <w:bottom w:val="none" w:sz="0" w:space="0" w:color="auto"/>
        <w:right w:val="none" w:sz="0" w:space="0" w:color="auto"/>
      </w:divBdr>
    </w:div>
    <w:div w:id="1057244414">
      <w:bodyDiv w:val="1"/>
      <w:marLeft w:val="0"/>
      <w:marRight w:val="0"/>
      <w:marTop w:val="0"/>
      <w:marBottom w:val="0"/>
      <w:divBdr>
        <w:top w:val="none" w:sz="0" w:space="0" w:color="auto"/>
        <w:left w:val="none" w:sz="0" w:space="0" w:color="auto"/>
        <w:bottom w:val="none" w:sz="0" w:space="0" w:color="auto"/>
        <w:right w:val="none" w:sz="0" w:space="0" w:color="auto"/>
      </w:divBdr>
    </w:div>
    <w:div w:id="1083642706">
      <w:bodyDiv w:val="1"/>
      <w:marLeft w:val="0"/>
      <w:marRight w:val="0"/>
      <w:marTop w:val="0"/>
      <w:marBottom w:val="0"/>
      <w:divBdr>
        <w:top w:val="none" w:sz="0" w:space="0" w:color="auto"/>
        <w:left w:val="none" w:sz="0" w:space="0" w:color="auto"/>
        <w:bottom w:val="none" w:sz="0" w:space="0" w:color="auto"/>
        <w:right w:val="none" w:sz="0" w:space="0" w:color="auto"/>
      </w:divBdr>
    </w:div>
    <w:div w:id="1146899379">
      <w:bodyDiv w:val="1"/>
      <w:marLeft w:val="0"/>
      <w:marRight w:val="0"/>
      <w:marTop w:val="0"/>
      <w:marBottom w:val="0"/>
      <w:divBdr>
        <w:top w:val="none" w:sz="0" w:space="0" w:color="auto"/>
        <w:left w:val="none" w:sz="0" w:space="0" w:color="auto"/>
        <w:bottom w:val="none" w:sz="0" w:space="0" w:color="auto"/>
        <w:right w:val="none" w:sz="0" w:space="0" w:color="auto"/>
      </w:divBdr>
    </w:div>
    <w:div w:id="1247227867">
      <w:bodyDiv w:val="1"/>
      <w:marLeft w:val="0"/>
      <w:marRight w:val="0"/>
      <w:marTop w:val="0"/>
      <w:marBottom w:val="0"/>
      <w:divBdr>
        <w:top w:val="none" w:sz="0" w:space="0" w:color="auto"/>
        <w:left w:val="none" w:sz="0" w:space="0" w:color="auto"/>
        <w:bottom w:val="none" w:sz="0" w:space="0" w:color="auto"/>
        <w:right w:val="none" w:sz="0" w:space="0" w:color="auto"/>
      </w:divBdr>
    </w:div>
    <w:div w:id="1335953526">
      <w:bodyDiv w:val="1"/>
      <w:marLeft w:val="0"/>
      <w:marRight w:val="0"/>
      <w:marTop w:val="0"/>
      <w:marBottom w:val="0"/>
      <w:divBdr>
        <w:top w:val="none" w:sz="0" w:space="0" w:color="auto"/>
        <w:left w:val="none" w:sz="0" w:space="0" w:color="auto"/>
        <w:bottom w:val="none" w:sz="0" w:space="0" w:color="auto"/>
        <w:right w:val="none" w:sz="0" w:space="0" w:color="auto"/>
      </w:divBdr>
    </w:div>
    <w:div w:id="1459103423">
      <w:bodyDiv w:val="1"/>
      <w:marLeft w:val="0"/>
      <w:marRight w:val="0"/>
      <w:marTop w:val="0"/>
      <w:marBottom w:val="0"/>
      <w:divBdr>
        <w:top w:val="none" w:sz="0" w:space="0" w:color="auto"/>
        <w:left w:val="none" w:sz="0" w:space="0" w:color="auto"/>
        <w:bottom w:val="none" w:sz="0" w:space="0" w:color="auto"/>
        <w:right w:val="none" w:sz="0" w:space="0" w:color="auto"/>
      </w:divBdr>
    </w:div>
    <w:div w:id="1498232217">
      <w:bodyDiv w:val="1"/>
      <w:marLeft w:val="0"/>
      <w:marRight w:val="0"/>
      <w:marTop w:val="0"/>
      <w:marBottom w:val="0"/>
      <w:divBdr>
        <w:top w:val="none" w:sz="0" w:space="0" w:color="auto"/>
        <w:left w:val="none" w:sz="0" w:space="0" w:color="auto"/>
        <w:bottom w:val="none" w:sz="0" w:space="0" w:color="auto"/>
        <w:right w:val="none" w:sz="0" w:space="0" w:color="auto"/>
      </w:divBdr>
    </w:div>
    <w:div w:id="1555308077">
      <w:bodyDiv w:val="1"/>
      <w:marLeft w:val="0"/>
      <w:marRight w:val="0"/>
      <w:marTop w:val="0"/>
      <w:marBottom w:val="0"/>
      <w:divBdr>
        <w:top w:val="none" w:sz="0" w:space="0" w:color="auto"/>
        <w:left w:val="none" w:sz="0" w:space="0" w:color="auto"/>
        <w:bottom w:val="none" w:sz="0" w:space="0" w:color="auto"/>
        <w:right w:val="none" w:sz="0" w:space="0" w:color="auto"/>
      </w:divBdr>
    </w:div>
    <w:div w:id="1586109977">
      <w:bodyDiv w:val="1"/>
      <w:marLeft w:val="0"/>
      <w:marRight w:val="0"/>
      <w:marTop w:val="0"/>
      <w:marBottom w:val="0"/>
      <w:divBdr>
        <w:top w:val="none" w:sz="0" w:space="0" w:color="auto"/>
        <w:left w:val="none" w:sz="0" w:space="0" w:color="auto"/>
        <w:bottom w:val="none" w:sz="0" w:space="0" w:color="auto"/>
        <w:right w:val="none" w:sz="0" w:space="0" w:color="auto"/>
      </w:divBdr>
    </w:div>
    <w:div w:id="1601375913">
      <w:bodyDiv w:val="1"/>
      <w:marLeft w:val="0"/>
      <w:marRight w:val="0"/>
      <w:marTop w:val="0"/>
      <w:marBottom w:val="0"/>
      <w:divBdr>
        <w:top w:val="none" w:sz="0" w:space="0" w:color="auto"/>
        <w:left w:val="none" w:sz="0" w:space="0" w:color="auto"/>
        <w:bottom w:val="none" w:sz="0" w:space="0" w:color="auto"/>
        <w:right w:val="none" w:sz="0" w:space="0" w:color="auto"/>
      </w:divBdr>
    </w:div>
    <w:div w:id="1629119303">
      <w:bodyDiv w:val="1"/>
      <w:marLeft w:val="0"/>
      <w:marRight w:val="0"/>
      <w:marTop w:val="0"/>
      <w:marBottom w:val="0"/>
      <w:divBdr>
        <w:top w:val="none" w:sz="0" w:space="0" w:color="auto"/>
        <w:left w:val="none" w:sz="0" w:space="0" w:color="auto"/>
        <w:bottom w:val="none" w:sz="0" w:space="0" w:color="auto"/>
        <w:right w:val="none" w:sz="0" w:space="0" w:color="auto"/>
      </w:divBdr>
    </w:div>
    <w:div w:id="1817214181">
      <w:bodyDiv w:val="1"/>
      <w:marLeft w:val="0"/>
      <w:marRight w:val="0"/>
      <w:marTop w:val="0"/>
      <w:marBottom w:val="0"/>
      <w:divBdr>
        <w:top w:val="none" w:sz="0" w:space="0" w:color="auto"/>
        <w:left w:val="none" w:sz="0" w:space="0" w:color="auto"/>
        <w:bottom w:val="none" w:sz="0" w:space="0" w:color="auto"/>
        <w:right w:val="none" w:sz="0" w:space="0" w:color="auto"/>
      </w:divBdr>
    </w:div>
    <w:div w:id="1902447647">
      <w:bodyDiv w:val="1"/>
      <w:marLeft w:val="0"/>
      <w:marRight w:val="0"/>
      <w:marTop w:val="0"/>
      <w:marBottom w:val="0"/>
      <w:divBdr>
        <w:top w:val="none" w:sz="0" w:space="0" w:color="auto"/>
        <w:left w:val="none" w:sz="0" w:space="0" w:color="auto"/>
        <w:bottom w:val="none" w:sz="0" w:space="0" w:color="auto"/>
        <w:right w:val="none" w:sz="0" w:space="0" w:color="auto"/>
      </w:divBdr>
    </w:div>
    <w:div w:id="1932926343">
      <w:bodyDiv w:val="1"/>
      <w:marLeft w:val="0"/>
      <w:marRight w:val="0"/>
      <w:marTop w:val="0"/>
      <w:marBottom w:val="0"/>
      <w:divBdr>
        <w:top w:val="none" w:sz="0" w:space="0" w:color="auto"/>
        <w:left w:val="none" w:sz="0" w:space="0" w:color="auto"/>
        <w:bottom w:val="none" w:sz="0" w:space="0" w:color="auto"/>
        <w:right w:val="none" w:sz="0" w:space="0" w:color="auto"/>
      </w:divBdr>
    </w:div>
    <w:div w:id="2107074279">
      <w:bodyDiv w:val="1"/>
      <w:marLeft w:val="0"/>
      <w:marRight w:val="0"/>
      <w:marTop w:val="0"/>
      <w:marBottom w:val="0"/>
      <w:divBdr>
        <w:top w:val="none" w:sz="0" w:space="0" w:color="auto"/>
        <w:left w:val="none" w:sz="0" w:space="0" w:color="auto"/>
        <w:bottom w:val="none" w:sz="0" w:space="0" w:color="auto"/>
        <w:right w:val="none" w:sz="0" w:space="0" w:color="auto"/>
      </w:divBdr>
    </w:div>
    <w:div w:id="21270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ines.org.uk/emc/product/782/pil" TargetMode="External"/><Relationship Id="rId18" Type="http://schemas.openxmlformats.org/officeDocument/2006/relationships/hyperlink" Target="http://fcsp.xfyldecoast.nhs.uk/trustdocuments/Documents/CORP-PROC-639.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dicines.org.uk/emc/product/782/smpc" TargetMode="External"/><Relationship Id="rId17" Type="http://schemas.openxmlformats.org/officeDocument/2006/relationships/hyperlink" Target="http://fcsp.xfyldecoast.nhs.uk/trustdocuments/Documents/CORP-PROC-639.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s-h.org.uk/guidelines/guidelines/diagnosis-and-management-of-heparin-induced-thrombocytopenia-third-edition" TargetMode="External"/><Relationship Id="rId20" Type="http://schemas.openxmlformats.org/officeDocument/2006/relationships/hyperlink" Target="http://fcsp.xfyldecoast.nhs.uk/trustdocuments/Documents/CORP-POL-60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fcsp.xfyldecoast.nhs.uk/trustdocuments/Documents/CORP-POL-603.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ncsmmg.nhs.uk/media/1259/low-molecular-weigh-heparins-summary-prescribing-guide-version-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csp.xfyldecoast.nhs.uk/trustdocuments/Documents/CORP-POL-549.docx"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647EEAB3148F1A7935367389F2307"/>
        <w:category>
          <w:name w:val="General"/>
          <w:gallery w:val="placeholder"/>
        </w:category>
        <w:types>
          <w:type w:val="bbPlcHdr"/>
        </w:types>
        <w:behaviors>
          <w:behavior w:val="content"/>
        </w:behaviors>
        <w:guid w:val="{891D0B41-ED93-431F-A54E-AC53602EF03C}"/>
      </w:docPartPr>
      <w:docPartBody>
        <w:p w:rsidR="00233F34" w:rsidRDefault="006B44C3" w:rsidP="006B44C3">
          <w:pPr>
            <w:pStyle w:val="A96647EEAB3148F1A7935367389F2307"/>
          </w:pPr>
          <w:r w:rsidRPr="00E73E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3EC42BAC"/>
    <w:multiLevelType w:val="multilevel"/>
    <w:tmpl w:val="31F87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3153A87"/>
    <w:multiLevelType w:val="hybridMultilevel"/>
    <w:tmpl w:val="67A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5112717"/>
    <w:multiLevelType w:val="hybridMultilevel"/>
    <w:tmpl w:val="8BC22ABE"/>
    <w:lvl w:ilvl="0" w:tplc="0076F7FE">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00691967">
    <w:abstractNumId w:val="4"/>
  </w:num>
  <w:num w:numId="2" w16cid:durableId="62334598">
    <w:abstractNumId w:val="1"/>
  </w:num>
  <w:num w:numId="3" w16cid:durableId="1662583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634163">
    <w:abstractNumId w:val="3"/>
  </w:num>
  <w:num w:numId="5" w16cid:durableId="295767410">
    <w:abstractNumId w:val="2"/>
  </w:num>
  <w:num w:numId="6" w16cid:durableId="570171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72C"/>
    <w:rsid w:val="0003144E"/>
    <w:rsid w:val="000831CE"/>
    <w:rsid w:val="00153192"/>
    <w:rsid w:val="001861BC"/>
    <w:rsid w:val="0022252C"/>
    <w:rsid w:val="00233F34"/>
    <w:rsid w:val="00342DA6"/>
    <w:rsid w:val="0038036D"/>
    <w:rsid w:val="0053323D"/>
    <w:rsid w:val="005551DD"/>
    <w:rsid w:val="005A1111"/>
    <w:rsid w:val="005B572C"/>
    <w:rsid w:val="0062435D"/>
    <w:rsid w:val="006B44C3"/>
    <w:rsid w:val="007D62F0"/>
    <w:rsid w:val="00837BC5"/>
    <w:rsid w:val="00857922"/>
    <w:rsid w:val="008C2CAB"/>
    <w:rsid w:val="009F51BB"/>
    <w:rsid w:val="00A51D3C"/>
    <w:rsid w:val="00AC766C"/>
    <w:rsid w:val="00AD4F3D"/>
    <w:rsid w:val="00B27C32"/>
    <w:rsid w:val="00BB29AD"/>
    <w:rsid w:val="00F548D7"/>
    <w:rsid w:val="00FC0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B572C"/>
    <w:rPr>
      <w:rFonts w:ascii="Arial" w:hAnsi="Arial"/>
      <w:b/>
      <w:bCs/>
      <w:sz w:val="24"/>
    </w:rPr>
  </w:style>
  <w:style w:type="character" w:styleId="PlaceholderText">
    <w:name w:val="Placeholder Text"/>
    <w:basedOn w:val="DefaultParagraphFont"/>
    <w:uiPriority w:val="99"/>
    <w:semiHidden/>
    <w:rsid w:val="00AC766C"/>
    <w:rPr>
      <w:color w:val="808080"/>
    </w:rPr>
  </w:style>
  <w:style w:type="paragraph" w:styleId="TOC2">
    <w:name w:val="toc 2"/>
    <w:basedOn w:val="Normal"/>
    <w:next w:val="Normal"/>
    <w:autoRedefine/>
    <w:uiPriority w:val="39"/>
    <w:rsid w:val="009F51BB"/>
    <w:pPr>
      <w:tabs>
        <w:tab w:val="left" w:pos="851"/>
        <w:tab w:val="right" w:leader="dot" w:pos="9628"/>
      </w:tabs>
      <w:spacing w:after="0" w:line="240" w:lineRule="auto"/>
      <w:ind w:left="851" w:hanging="611"/>
    </w:pPr>
    <w:rPr>
      <w:rFonts w:ascii="Arial" w:eastAsia="Times New Roman" w:hAnsi="Arial" w:cs="Times New Roman"/>
      <w:bCs/>
      <w:sz w:val="24"/>
      <w:szCs w:val="20"/>
      <w:lang w:eastAsia="en-US"/>
    </w:rPr>
  </w:style>
  <w:style w:type="paragraph" w:styleId="BodyText2">
    <w:name w:val="Body Text 2"/>
    <w:basedOn w:val="Normal"/>
    <w:link w:val="BodyText2Char"/>
    <w:rsid w:val="00F548D7"/>
    <w:pPr>
      <w:spacing w:after="0" w:line="240" w:lineRule="auto"/>
    </w:pPr>
    <w:rPr>
      <w:rFonts w:ascii="Arial" w:eastAsia="Times New Roman" w:hAnsi="Arial" w:cs="Times New Roman"/>
      <w:bCs/>
      <w:sz w:val="24"/>
      <w:szCs w:val="20"/>
      <w:lang w:eastAsia="en-US"/>
    </w:rPr>
  </w:style>
  <w:style w:type="character" w:customStyle="1" w:styleId="BodyText2Char">
    <w:name w:val="Body Text 2 Char"/>
    <w:basedOn w:val="DefaultParagraphFont"/>
    <w:link w:val="BodyText2"/>
    <w:rsid w:val="0053323D"/>
    <w:rPr>
      <w:rFonts w:ascii="Arial" w:eastAsia="Times New Roman" w:hAnsi="Arial" w:cs="Times New Roman"/>
      <w:bCs/>
      <w:sz w:val="24"/>
      <w:szCs w:val="20"/>
      <w:lang w:eastAsia="en-US"/>
    </w:rPr>
  </w:style>
  <w:style w:type="paragraph" w:styleId="ListParagraph">
    <w:name w:val="List Paragraph"/>
    <w:basedOn w:val="Normal"/>
    <w:autoRedefine/>
    <w:uiPriority w:val="34"/>
    <w:qFormat/>
    <w:rsid w:val="001861BC"/>
    <w:pPr>
      <w:numPr>
        <w:numId w:val="4"/>
      </w:numPr>
      <w:spacing w:before="120" w:after="120" w:line="240" w:lineRule="auto"/>
    </w:pPr>
    <w:rPr>
      <w:rFonts w:ascii="Arial" w:eastAsia="Times New Roman" w:hAnsi="Arial" w:cs="Times New Roman"/>
      <w:bCs/>
      <w:sz w:val="24"/>
      <w:szCs w:val="20"/>
      <w:lang w:eastAsia="en-US"/>
    </w:rPr>
  </w:style>
  <w:style w:type="character" w:styleId="CommentReference">
    <w:name w:val="annotation reference"/>
    <w:basedOn w:val="DefaultParagraphFont"/>
    <w:rsid w:val="005B572C"/>
    <w:rPr>
      <w:sz w:val="16"/>
      <w:szCs w:val="16"/>
    </w:rPr>
  </w:style>
  <w:style w:type="paragraph" w:customStyle="1" w:styleId="A96647EEAB3148F1A7935367389F2307">
    <w:name w:val="A96647EEAB3148F1A7935367389F2307"/>
    <w:rsid w:val="006B44C3"/>
  </w:style>
  <w:style w:type="paragraph" w:styleId="Header">
    <w:name w:val="header"/>
    <w:basedOn w:val="Normal"/>
    <w:link w:val="HeaderChar"/>
    <w:rsid w:val="009F51BB"/>
    <w:pPr>
      <w:tabs>
        <w:tab w:val="center" w:pos="4153"/>
        <w:tab w:val="right" w:pos="8306"/>
      </w:tabs>
      <w:spacing w:after="0" w:line="240" w:lineRule="auto"/>
    </w:pPr>
    <w:rPr>
      <w:rFonts w:ascii="Arial" w:eastAsia="Times New Roman" w:hAnsi="Arial" w:cs="Times New Roman"/>
      <w:bCs/>
      <w:sz w:val="20"/>
      <w:szCs w:val="20"/>
      <w:lang w:eastAsia="en-US"/>
    </w:rPr>
  </w:style>
  <w:style w:type="character" w:customStyle="1" w:styleId="HeaderChar">
    <w:name w:val="Header Char"/>
    <w:basedOn w:val="DefaultParagraphFont"/>
    <w:link w:val="Header"/>
    <w:rsid w:val="009F51BB"/>
    <w:rPr>
      <w:rFonts w:ascii="Arial" w:eastAsia="Times New Roman" w:hAnsi="Arial" w:cs="Times New Roman"/>
      <w:bCs/>
      <w:sz w:val="20"/>
      <w:szCs w:val="20"/>
      <w:lang w:eastAsia="en-US"/>
    </w:rPr>
  </w:style>
  <w:style w:type="paragraph" w:styleId="ListNumber3">
    <w:name w:val="List Number 3"/>
    <w:basedOn w:val="Normal"/>
    <w:rsid w:val="001861BC"/>
    <w:pPr>
      <w:numPr>
        <w:numId w:val="6"/>
      </w:numPr>
      <w:spacing w:after="0" w:line="240" w:lineRule="auto"/>
      <w:contextualSpacing/>
    </w:pPr>
    <w:rPr>
      <w:rFonts w:ascii="Arial" w:eastAsia="Times New Roman" w:hAnsi="Arial" w:cs="Times New Roman"/>
      <w:bCs/>
      <w:sz w:val="24"/>
      <w:szCs w:val="20"/>
      <w:lang w:eastAsia="en-US"/>
    </w:rPr>
  </w:style>
  <w:style w:type="paragraph" w:styleId="TOC4">
    <w:name w:val="toc 4"/>
    <w:basedOn w:val="Normal"/>
    <w:next w:val="Normal"/>
    <w:autoRedefine/>
    <w:uiPriority w:val="39"/>
    <w:rsid w:val="001861BC"/>
    <w:pPr>
      <w:tabs>
        <w:tab w:val="left" w:pos="1701"/>
        <w:tab w:val="right" w:leader="dot" w:pos="9628"/>
      </w:tabs>
      <w:spacing w:after="0" w:line="240" w:lineRule="auto"/>
      <w:ind w:left="1701" w:hanging="981"/>
    </w:pPr>
    <w:rPr>
      <w:rFonts w:ascii="Arial" w:eastAsia="Times New Roman" w:hAnsi="Arial" w:cs="Times New Roman"/>
      <w:bCs/>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emc226</b:Tag>
    <b:SourceType>DocumentFromInternetSite</b:SourceType>
    <b:Guid>{9247913A-496B-4566-9413-FFA80C5C9602}</b:Guid>
    <b:Author>
      <b:Author>
        <b:Corporate>+emc</b:Corporate>
      </b:Author>
    </b:Author>
    <b:Title>Inhixa 10,000 IU (100 mg) in 1.0 mL solution for injection in pre-filled syringe</b:Title>
    <b:InternetSiteTitle>Techdow Pharma England Ltd</b:InternetSiteTitle>
    <b:Year>2022</b:Year>
    <b:Month>04</b:Month>
    <b:Day>27</b:Day>
    <b:YearAccessed>2024</b:YearAccessed>
    <b:MonthAccessed>07</b:MonthAccessed>
    <b:DayAccessed>28</b:DayAccessed>
    <b:URL>https://www.medicines.org.uk/emc/product/782/smpc</b:URL>
    <b:StandardNumber>ATC code:  B01AB05</b:StandardNumber>
    <b:RefOrder>1</b:RefOrder>
  </b:Source>
  <b:Source>
    <b:Tag>Dav12</b:Tag>
    <b:SourceType>DocumentFromInternetSite</b:SourceType>
    <b:Guid>{955D6AB5-6911-4000-AE0A-E464DDABC495}</b:Guid>
    <b:Author>
      <b:Author>
        <b:Corporate>Deepa J. Arachchillage, Jecko Thachil, Julia A. M. Anderson, Peter Baker, Anthony Poles, Steve Kitchen, Mike Laffan, the BSH Committee</b:Corporate>
      </b:Author>
    </b:Author>
    <b:Title>Diagnosis and Management of Heparin Induced Thrombocytopenia: Third Edition</b:Title>
    <b:Year>2023</b:Year>
    <b:Month>12</b:Month>
    <b:Day>28</b:Day>
    <b:YearAccessed>2024</b:YearAccessed>
    <b:MonthAccessed>08</b:MonthAccessed>
    <b:DayAccessed>28</b:DayAccessed>
    <b:URL>https://b-s-h.org.uk/guidelines/guidelines/diagnosis-and-management-of-heparin-induced-thrombocytopenia-third-edition</b:URL>
    <b:StandardNumber>https://doi.org/10.1111/bjh.19180</b:StandardNumber>
    <b:RefOrder>4</b:RefOrder>
  </b:Source>
  <b:Source>
    <b:Tag>BTH1718</b:Tag>
    <b:SourceType>DocumentFromInternetSite</b:SourceType>
    <b:Guid>{4CB9B14A-10AF-44FC-A58D-672885EB48B5}</b:Guid>
    <b:Author>
      <b:Author>
        <b:Corporate>BTHFT - Procedure</b:Corporate>
      </b:Author>
    </b:Author>
    <b:Title>Management of Heparin Induced Thrombocytopenia</b:Title>
    <b:Year>2021</b:Year>
    <b:Month>08</b:Month>
    <b:Day>19</b:Day>
    <b:YearAccessed>2024</b:YearAccessed>
    <b:MonthAccessed>08</b:MonthAccessed>
    <b:DayAccessed>28</b:DayAccessed>
    <b:URL>http://fcsp.xfyldecoast.nhs.uk/trustdocuments/Documents/CORP-PROC-639.docx</b:URL>
    <b:StandardNumber>CORP/PROC/639</b:StandardNumber>
    <b:RefOrder>5</b:RefOrder>
  </b:Source>
  <b:Source>
    <b:Tag>BTH2084</b:Tag>
    <b:SourceType>DocumentFromInternetSite</b:SourceType>
    <b:Guid>{A1BC4CAB-6CEE-4559-A979-68D658431577}</b:Guid>
    <b:Author>
      <b:Author>
        <b:Corporate>BTHFT - Protocol</b:Corporate>
      </b:Author>
    </b:Author>
    <b:Title>Administration of Intravenous Heparin for the Treatment of Venous Thrombo-Embolic Disease</b:Title>
    <b:Year>2022</b:Year>
    <b:Month>12</b:Month>
    <b:Day>15</b:Day>
    <b:YearAccessed>2024</b:YearAccessed>
    <b:MonthAccessed>08</b:MonthAccessed>
    <b:DayAccessed>28</b:DayAccessed>
    <b:URL>http://fcsp.xfyldecoast.nhs.uk/trustdocuments/Documents/CORP-PROT-008.docx</b:URL>
    <b:StandardNumber>CORP/PROT/008</b:StandardNumber>
    <b:RefOrder>7</b:RefOrder>
  </b:Source>
  <b:Source>
    <b:Tag>Lan192</b:Tag>
    <b:SourceType>DocumentFromInternetSite</b:SourceType>
    <b:Guid>{B97230C2-3B62-4248-BE67-635996476264}</b:Guid>
    <b:Author>
      <b:Author>
        <b:Corporate>Lancashire and South Cumbria Medicines Management Group</b:Corporate>
      </b:Author>
    </b:Author>
    <b:Title>Low Molecular Weight Heparins (LMWHs) Summary Prescribing Guide</b:Title>
    <b:Year>2019</b:Year>
    <b:Month>09</b:Month>
    <b:YearAccessed>2024</b:YearAccessed>
    <b:MonthAccessed>08</b:MonthAccessed>
    <b:DayAccessed>28</b:DayAccessed>
    <b:URL>https://www.lancsmmg.nhs.uk/media/1259/low-molecular-weigh-heparins-summary-prescribing-guide-version-14.pdf</b:URL>
    <b:RefOrder>6</b:RefOrder>
  </b:Source>
  <b:Source>
    <b:Tag>BTH2181</b:Tag>
    <b:SourceType>DocumentFromInternetSite</b:SourceType>
    <b:Guid>{2A33A88E-8A02-4669-90D6-B2A44715AFC4}</b:Guid>
    <b:Author>
      <b:Author>
        <b:Corporate>BTHFT - Policy</b:Corporate>
      </b:Author>
    </b:Author>
    <b:Title>Adult Patient Discharge / Transfer of Care Policy and Procedure</b:Title>
    <b:Year>2021</b:Year>
    <b:Month>06</b:Month>
    <b:Day>15</b:Day>
    <b:YearAccessed>2024</b:YearAccessed>
    <b:MonthAccessed>08</b:MonthAccessed>
    <b:DayAccessed>28</b:DayAccessed>
    <b:URL>http://fcsp.xfyldecoast.nhs.uk/trustdocuments/Documents/CORP-POL-603.docx</b:URL>
    <b:StandardNumber>CORP/POL/603</b:StandardNumber>
    <b:RefOrder>3</b:RefOrder>
  </b:Source>
  <b:Source>
    <b:Tag>COR17</b:Tag>
    <b:SourceType>DocumentFromInternetSite</b:SourceType>
    <b:Guid>{1A2067AE-FDE2-4DA8-8A77-B0DCE8956E6E}</b:Guid>
    <b:Author>
      <b:Author>
        <b:Corporate>BTHFT - Policy</b:Corporate>
      </b:Author>
    </b:Author>
    <b:Title>Self-Administration of Medicines in Adult Patients (16 years and over)</b:Title>
    <b:Year>2022</b:Year>
    <b:Month>03</b:Month>
    <b:Day>03</b:Day>
    <b:YearAccessed>2024</b:YearAccessed>
    <b:MonthAccessed>08</b:MonthAccessed>
    <b:DayAccessed>28</b:DayAccessed>
    <b:URL>http://fcsp.xfyldecoast.nhs.uk/trustdocuments/Documents/CORP-POL-549.docx</b:URL>
    <b:StandardNumber>CORP/POL/549</b:StandardNumber>
    <b:RefOrder>2</b:RefOrder>
  </b:Source>
  <b:Source>
    <b:Tag>NHS151</b:Tag>
    <b:SourceType>DocumentFromInternetSite</b:SourceType>
    <b:Guid>{629388DC-8B3F-4838-9B12-1B9A23E2F06B}</b:Guid>
    <b:Author>
      <b:Author>
        <b:Corporate>NHS England</b:Corporate>
      </b:Author>
    </b:Author>
    <b:Title>Patient Safety Alert - Stage One: Warning - Harm from using Low Molecular Weight Heparins when contraindicated</b:Title>
    <b:Year>2015</b:Year>
    <b:Month>01</b:Month>
    <b:Day>19</b:Day>
    <b:YearAccessed>2024</b:YearAccessed>
    <b:MonthAccessed>08</b:MonthAccessed>
    <b:DayAccessed>28</b:DayAccessed>
    <b:URL>https://www.england.nhs.uk/wp-content/uploads/2015/01/psa-lmwhs.pdf</b:URL>
    <b:StandardNumber>Alert refererence number:  NHS/PSA/W/2015/001</b:StandardNumber>
    <b:RefOrder>8</b:RefOrder>
  </b:Source>
  <b:Source>
    <b:Tag>NPS102</b:Tag>
    <b:SourceType>DocumentFromInternetSite</b:SourceType>
    <b:Guid>{01B1A85B-0ECB-40A0-A7F7-16418BCC406C}</b:Guid>
    <b:Author>
      <b:Author>
        <b:Corporate>NHS Central Alerting System</b:Corporate>
      </b:Author>
    </b:Author>
    <b:Title>Rapid Response Report - Reducing treatment dose errors with low molecular weight heparins</b:Title>
    <b:Year>2010</b:Year>
    <b:Month>07</b:Month>
    <b:Day>30</b:Day>
    <b:YearAccessed>2024</b:YearAccessed>
    <b:MonthAccessed>08</b:MonthAccessed>
    <b:DayAccessed>28</b:DayAccessed>
    <b:URL>https://www.cas.mhra.gov.uk/ViewandAcknowledgment/ViewAlert.aspx?AlertID=101444</b:URL>
    <b:StandardNumber>NPSA/2010/RRR014</b:StandardNumber>
    <b:RefOrder>9</b:RefOrder>
  </b:Source>
  <b:Source>
    <b:Tag>Mik19</b:Tag>
    <b:SourceType>DocumentFromInternetSite</b:SourceType>
    <b:Guid>{FF0DCF58-2134-401B-AE27-7D3C66BB07AA}</b:Guid>
    <b:Author>
      <b:Author>
        <b:Corporate>Mike Makris, Joost J. Van Veen, Campbell R. Tait, Andrew D. Mumford, Mike Laffan, The British Committee for Standards in Haematology</b:Corporate>
      </b:Author>
    </b:Author>
    <b:Title>Management of Bleeding in Patients on Antithrombotic Agents</b:Title>
    <b:Year>Updated with Addendum 06/02/2019</b:Year>
    <b:YearAccessed>2024</b:YearAccessed>
    <b:MonthAccessed>08</b:MonthAccessed>
    <b:DayAccessed>28</b:DayAccessed>
    <b:URL>https://b-s-h.org.uk/guidelines/guidelines/management-of-bleeding-in-patients-on-antithrombotic-agents</b:URL>
    <b:StandardNumber>https://doi.org/10.1111/bjh.12107</b:StandardNumber>
    <b:RefOrder>10</b:RefOrder>
  </b:Source>
  <b:Source>
    <b:Tag>NIC20</b:Tag>
    <b:SourceType>DocumentFromInternetSite</b:SourceType>
    <b:Guid>{D27719C8-D22B-44B0-885A-19CC1CBD8174}</b:Guid>
    <b:Author>
      <b:Author>
        <b:Corporate>NICE</b:Corporate>
      </b:Author>
    </b:Author>
    <b:Title>Venous thromboembolic diseases: diagnosis, management and thrombophilia testing</b:Title>
    <b:Year>Last updated: 02 August 2023</b:Year>
    <b:YearAccessed>2024</b:YearAccessed>
    <b:MonthAccessed>08</b:MonthAccessed>
    <b:DayAccessed>28</b:DayAccessed>
    <b:URL>https://www.nice.org.uk/guidance/ng158/resources/venous-thromboembolic-diseases-diagnosis-management-and-thrombophilia-testing-pdf-66141847001797</b:URL>
    <b:StandardNumber>NICE guideline [NG158]</b:StandardNumber>
    <b:RefOrder>11</b:RefOrder>
  </b:Source>
  <b:Source>
    <b:Tag>BTH1922</b:Tag>
    <b:SourceType>DocumentFromInternetSite</b:SourceType>
    <b:Guid>{7CD8952F-ED2F-4710-8DC1-7B8FEDD033B4}</b:Guid>
    <b:Author>
      <b:Author>
        <b:Corporate>BTHFT - Guideline</b:Corporate>
      </b:Author>
    </b:Author>
    <b:Title>Warfarin</b:Title>
    <b:Year>2024</b:Year>
    <b:Month>06</b:Month>
    <b:Day>20</b:Day>
    <b:YearAccessed>2024</b:YearAccessed>
    <b:MonthAccessed>08</b:MonthAccessed>
    <b:DayAccessed>28</b:DayAccessed>
    <b:URL>http://fcsp.xfyldecoast.nhs.uk/trustdocuments/Documents/CORP-GUID-147.docx</b:URL>
    <b:StandardNumber>CORP/GUID/147</b:StandardNumber>
    <b:RefOrder>12</b:RefOrder>
  </b:Source>
  <b:Source>
    <b:Tag>BTH22171</b:Tag>
    <b:SourceType>DocumentFromInternetSite</b:SourceType>
    <b:Guid>{C7DCBAE8-69C9-45FA-AC07-0FB49ACBF7D7}</b:Guid>
    <b:Author>
      <b:Author>
        <b:Corporate>BTHFT - Guideline</b:Corporate>
      </b:Author>
    </b:Author>
    <b:Title>Venous Thromboembolism –  Treatment / Management in Pregnancy, Labour and the Puerperium</b:Title>
    <b:Year>2022</b:Year>
    <b:Month>03</b:Month>
    <b:Day>13</b:Day>
    <b:YearAccessed>2024</b:YearAccessed>
    <b:MonthAccessed>08</b:MonthAccessed>
    <b:DayAccessed>28</b:DayAccessed>
    <b:URL>http://fcsp.xfyldecoast.nhs.uk/trustdocuments/Documents/OBS-GYNAE-GUID-102.docx</b:URL>
    <b:StandardNumber>OBS/GYNAE/GUID/102</b:StandardNumber>
    <b:RefOrder>13</b:RefOrder>
  </b:Source>
  <b:Source>
    <b:Tag>BTH1978</b:Tag>
    <b:SourceType>DocumentFromInternetSite</b:SourceType>
    <b:Guid>{F53E325C-F998-43B0-BE3B-96697FF775DD}</b:Guid>
    <b:Author>
      <b:Author>
        <b:Corporate>BTHFT - Guideline</b:Corporate>
      </b:Author>
    </b:Author>
    <b:Title>Venous Thromboembolism - Antenatal, Intrapartum and Postnatal Risk Assessments and Prophylaxis  (including COVID-19)</b:Title>
    <b:Year>2022</b:Year>
    <b:Month>08</b:Month>
    <b:Day>24</b:Day>
    <b:YearAccessed>2024</b:YearAccessed>
    <b:MonthAccessed>08</b:MonthAccessed>
    <b:DayAccessed>28</b:DayAccessed>
    <b:URL>http://fcsp.xfyldecoast.nhs.uk/trustdocuments/Documents/OBS-GYNAE-GUID-103.docx</b:URL>
    <b:StandardNumber>OBS/GYNAE/GUID/103</b:StandardNumber>
    <b:RefOrder>14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A8E07B1B4F229429D1DADD7906076C4" ma:contentTypeVersion="19" ma:contentTypeDescription="Create a new document." ma:contentTypeScope="" ma:versionID="511c2b15cbf6bd70519c5a266535604b">
  <xsd:schema xmlns:xsd="http://www.w3.org/2001/XMLSchema" xmlns:xs="http://www.w3.org/2001/XMLSchema" xmlns:p="http://schemas.microsoft.com/office/2006/metadata/properties" xmlns:ns1="http://schemas.microsoft.com/sharepoint/v3" xmlns:ns2="33e0186f-1ed6-4aeb-a977-942b47fc945b" targetNamespace="http://schemas.microsoft.com/office/2006/metadata/properties" ma:root="true" ma:fieldsID="7f28956b950b811092fdb68242860d51" ns1:_="" ns2:_="">
    <xsd:import namespace="http://schemas.microsoft.com/sharepoint/v3"/>
    <xsd:import namespace="33e0186f-1ed6-4aeb-a977-942b47fc9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186f-1ed6-4aeb-a977-942b47fc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33e0186f-1ed6-4aeb-a977-942b47fc94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3E215-975B-463A-A22A-727776C24284}">
  <ds:schemaRefs>
    <ds:schemaRef ds:uri="http://schemas.microsoft.com/sharepoint/v3/contenttype/forms"/>
  </ds:schemaRefs>
</ds:datastoreItem>
</file>

<file path=customXml/itemProps2.xml><?xml version="1.0" encoding="utf-8"?>
<ds:datastoreItem xmlns:ds="http://schemas.openxmlformats.org/officeDocument/2006/customXml" ds:itemID="{D8AF0482-2F80-41CF-B9B9-00CAD156F4D8}">
  <ds:schemaRefs>
    <ds:schemaRef ds:uri="http://schemas.openxmlformats.org/officeDocument/2006/bibliography"/>
  </ds:schemaRefs>
</ds:datastoreItem>
</file>

<file path=customXml/itemProps3.xml><?xml version="1.0" encoding="utf-8"?>
<ds:datastoreItem xmlns:ds="http://schemas.openxmlformats.org/officeDocument/2006/customXml" ds:itemID="{8EFA46EE-4694-4261-B3CD-1E8B1CDD5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186f-1ed6-4aeb-a977-942b47fc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2B592-67BA-4BAC-83BE-70BA3D4F6F9D}">
  <ds:schemaRef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0bad8fe3-5959-42de-a75d-4d6b4c8fb126"/>
    <ds:schemaRef ds:uri="http://purl.org/dc/terms/"/>
    <ds:schemaRef ds:uri="bdfdf80f-bc50-4387-b57c-1623e5a3d712"/>
    <ds:schemaRef ds:uri="http://www.w3.org/XML/1998/namespace"/>
    <ds:schemaRef ds:uri="http://purl.org/dc/dcmitype/"/>
    <ds:schemaRef ds:uri="33e0186f-1ed6-4aeb-a977-942b47fc945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4992</Words>
  <Characters>28457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CORP/PROC/001 Procedure v14 Template</vt:lpstr>
    </vt:vector>
  </TitlesOfParts>
  <Company>Blackpool Victoria NHS Trust</Company>
  <LinksUpToDate>false</LinksUpToDate>
  <CharactersWithSpaces>33383</CharactersWithSpaces>
  <SharedDoc>false</SharedDoc>
  <HLinks>
    <vt:vector size="108" baseType="variant">
      <vt:variant>
        <vt:i4>1179709</vt:i4>
      </vt:variant>
      <vt:variant>
        <vt:i4>107</vt:i4>
      </vt:variant>
      <vt:variant>
        <vt:i4>0</vt:i4>
      </vt:variant>
      <vt:variant>
        <vt:i4>5</vt:i4>
      </vt:variant>
      <vt:variant>
        <vt:lpwstr/>
      </vt:variant>
      <vt:variant>
        <vt:lpwstr>_Toc360097745</vt:lpwstr>
      </vt:variant>
      <vt:variant>
        <vt:i4>1179709</vt:i4>
      </vt:variant>
      <vt:variant>
        <vt:i4>101</vt:i4>
      </vt:variant>
      <vt:variant>
        <vt:i4>0</vt:i4>
      </vt:variant>
      <vt:variant>
        <vt:i4>5</vt:i4>
      </vt:variant>
      <vt:variant>
        <vt:lpwstr/>
      </vt:variant>
      <vt:variant>
        <vt:lpwstr>_Toc360097744</vt:lpwstr>
      </vt:variant>
      <vt:variant>
        <vt:i4>1179709</vt:i4>
      </vt:variant>
      <vt:variant>
        <vt:i4>95</vt:i4>
      </vt:variant>
      <vt:variant>
        <vt:i4>0</vt:i4>
      </vt:variant>
      <vt:variant>
        <vt:i4>5</vt:i4>
      </vt:variant>
      <vt:variant>
        <vt:lpwstr/>
      </vt:variant>
      <vt:variant>
        <vt:lpwstr>_Toc360097743</vt:lpwstr>
      </vt:variant>
      <vt:variant>
        <vt:i4>1179709</vt:i4>
      </vt:variant>
      <vt:variant>
        <vt:i4>89</vt:i4>
      </vt:variant>
      <vt:variant>
        <vt:i4>0</vt:i4>
      </vt:variant>
      <vt:variant>
        <vt:i4>5</vt:i4>
      </vt:variant>
      <vt:variant>
        <vt:lpwstr/>
      </vt:variant>
      <vt:variant>
        <vt:lpwstr>_Toc360097742</vt:lpwstr>
      </vt:variant>
      <vt:variant>
        <vt:i4>1179709</vt:i4>
      </vt:variant>
      <vt:variant>
        <vt:i4>83</vt:i4>
      </vt:variant>
      <vt:variant>
        <vt:i4>0</vt:i4>
      </vt:variant>
      <vt:variant>
        <vt:i4>5</vt:i4>
      </vt:variant>
      <vt:variant>
        <vt:lpwstr/>
      </vt:variant>
      <vt:variant>
        <vt:lpwstr>_Toc360097741</vt:lpwstr>
      </vt:variant>
      <vt:variant>
        <vt:i4>1179709</vt:i4>
      </vt:variant>
      <vt:variant>
        <vt:i4>77</vt:i4>
      </vt:variant>
      <vt:variant>
        <vt:i4>0</vt:i4>
      </vt:variant>
      <vt:variant>
        <vt:i4>5</vt:i4>
      </vt:variant>
      <vt:variant>
        <vt:lpwstr/>
      </vt:variant>
      <vt:variant>
        <vt:lpwstr>_Toc360097740</vt:lpwstr>
      </vt:variant>
      <vt:variant>
        <vt:i4>1376317</vt:i4>
      </vt:variant>
      <vt:variant>
        <vt:i4>71</vt:i4>
      </vt:variant>
      <vt:variant>
        <vt:i4>0</vt:i4>
      </vt:variant>
      <vt:variant>
        <vt:i4>5</vt:i4>
      </vt:variant>
      <vt:variant>
        <vt:lpwstr/>
      </vt:variant>
      <vt:variant>
        <vt:lpwstr>_Toc360097739</vt:lpwstr>
      </vt:variant>
      <vt:variant>
        <vt:i4>1376317</vt:i4>
      </vt:variant>
      <vt:variant>
        <vt:i4>65</vt:i4>
      </vt:variant>
      <vt:variant>
        <vt:i4>0</vt:i4>
      </vt:variant>
      <vt:variant>
        <vt:i4>5</vt:i4>
      </vt:variant>
      <vt:variant>
        <vt:lpwstr/>
      </vt:variant>
      <vt:variant>
        <vt:lpwstr>_Toc360097738</vt:lpwstr>
      </vt:variant>
      <vt:variant>
        <vt:i4>1376317</vt:i4>
      </vt:variant>
      <vt:variant>
        <vt:i4>59</vt:i4>
      </vt:variant>
      <vt:variant>
        <vt:i4>0</vt:i4>
      </vt:variant>
      <vt:variant>
        <vt:i4>5</vt:i4>
      </vt:variant>
      <vt:variant>
        <vt:lpwstr/>
      </vt:variant>
      <vt:variant>
        <vt:lpwstr>_Toc360097737</vt:lpwstr>
      </vt:variant>
      <vt:variant>
        <vt:i4>1376317</vt:i4>
      </vt:variant>
      <vt:variant>
        <vt:i4>53</vt:i4>
      </vt:variant>
      <vt:variant>
        <vt:i4>0</vt:i4>
      </vt:variant>
      <vt:variant>
        <vt:i4>5</vt:i4>
      </vt:variant>
      <vt:variant>
        <vt:lpwstr/>
      </vt:variant>
      <vt:variant>
        <vt:lpwstr>_Toc360097736</vt:lpwstr>
      </vt:variant>
      <vt:variant>
        <vt:i4>1376317</vt:i4>
      </vt:variant>
      <vt:variant>
        <vt:i4>47</vt:i4>
      </vt:variant>
      <vt:variant>
        <vt:i4>0</vt:i4>
      </vt:variant>
      <vt:variant>
        <vt:i4>5</vt:i4>
      </vt:variant>
      <vt:variant>
        <vt:lpwstr/>
      </vt:variant>
      <vt:variant>
        <vt:lpwstr>_Toc360097735</vt:lpwstr>
      </vt:variant>
      <vt:variant>
        <vt:i4>1376317</vt:i4>
      </vt:variant>
      <vt:variant>
        <vt:i4>41</vt:i4>
      </vt:variant>
      <vt:variant>
        <vt:i4>0</vt:i4>
      </vt:variant>
      <vt:variant>
        <vt:i4>5</vt:i4>
      </vt:variant>
      <vt:variant>
        <vt:lpwstr/>
      </vt:variant>
      <vt:variant>
        <vt:lpwstr>_Toc360097734</vt:lpwstr>
      </vt:variant>
      <vt:variant>
        <vt:i4>1376317</vt:i4>
      </vt:variant>
      <vt:variant>
        <vt:i4>35</vt:i4>
      </vt:variant>
      <vt:variant>
        <vt:i4>0</vt:i4>
      </vt:variant>
      <vt:variant>
        <vt:i4>5</vt:i4>
      </vt:variant>
      <vt:variant>
        <vt:lpwstr/>
      </vt:variant>
      <vt:variant>
        <vt:lpwstr>_Toc360097733</vt:lpwstr>
      </vt:variant>
      <vt:variant>
        <vt:i4>1376317</vt:i4>
      </vt:variant>
      <vt:variant>
        <vt:i4>29</vt:i4>
      </vt:variant>
      <vt:variant>
        <vt:i4>0</vt:i4>
      </vt:variant>
      <vt:variant>
        <vt:i4>5</vt:i4>
      </vt:variant>
      <vt:variant>
        <vt:lpwstr/>
      </vt:variant>
      <vt:variant>
        <vt:lpwstr>_Toc360097732</vt:lpwstr>
      </vt:variant>
      <vt:variant>
        <vt:i4>1376317</vt:i4>
      </vt:variant>
      <vt:variant>
        <vt:i4>23</vt:i4>
      </vt:variant>
      <vt:variant>
        <vt:i4>0</vt:i4>
      </vt:variant>
      <vt:variant>
        <vt:i4>5</vt:i4>
      </vt:variant>
      <vt:variant>
        <vt:lpwstr/>
      </vt:variant>
      <vt:variant>
        <vt:lpwstr>_Toc360097731</vt:lpwstr>
      </vt:variant>
      <vt:variant>
        <vt:i4>1376317</vt:i4>
      </vt:variant>
      <vt:variant>
        <vt:i4>17</vt:i4>
      </vt:variant>
      <vt:variant>
        <vt:i4>0</vt:i4>
      </vt:variant>
      <vt:variant>
        <vt:i4>5</vt:i4>
      </vt:variant>
      <vt:variant>
        <vt:lpwstr/>
      </vt:variant>
      <vt:variant>
        <vt:lpwstr>_Toc360097730</vt:lpwstr>
      </vt:variant>
      <vt:variant>
        <vt:i4>1310781</vt:i4>
      </vt:variant>
      <vt:variant>
        <vt:i4>11</vt:i4>
      </vt:variant>
      <vt:variant>
        <vt:i4>0</vt:i4>
      </vt:variant>
      <vt:variant>
        <vt:i4>5</vt:i4>
      </vt:variant>
      <vt:variant>
        <vt:lpwstr/>
      </vt:variant>
      <vt:variant>
        <vt:lpwstr>_Toc360097729</vt:lpwstr>
      </vt:variant>
      <vt:variant>
        <vt:i4>1310781</vt:i4>
      </vt:variant>
      <vt:variant>
        <vt:i4>5</vt:i4>
      </vt:variant>
      <vt:variant>
        <vt:i4>0</vt:i4>
      </vt:variant>
      <vt:variant>
        <vt:i4>5</vt:i4>
      </vt:variant>
      <vt:variant>
        <vt:lpwstr/>
      </vt:variant>
      <vt:variant>
        <vt:lpwstr>_Toc360097728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Enoxaparin for Treatment of Venous Thromboembolism</dc:title>
  <dc:creator>Forrest Margaret (BFWH)</dc:creator>
  <cp:lastModifiedBy>CROUCH, Tabitha (NHS LANCASHIRE AND SOUTH CUMBRIA ICB - 02M)</cp:lastModifiedBy>
  <cp:revision>2</cp:revision>
  <cp:lastPrinted>2018-01-19T15:00:00Z</cp:lastPrinted>
  <dcterms:created xsi:type="dcterms:W3CDTF">2026-03-16T12:44:00Z</dcterms:created>
  <dcterms:modified xsi:type="dcterms:W3CDTF">2026-03-16T12:44:00Z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0x0101001A8E07B1B4F229429D1DADD7906076C4</vt:lpwstr>
  </property>
  <property fmtid="{D5CDD505-2E9C-101B-9397-08002B2CF9AE}" pid="4" name="URL">
    <vt:lpwstr/>
  </property>
  <property fmtid="{D5CDD505-2E9C-101B-9397-08002B2CF9AE}" pid="5" name="MediaServiceImageTags">
    <vt:lpwstr/>
  </property>
  <property fmtid="{D5CDD505-2E9C-101B-9397-08002B2CF9AE}" pid="6" name="Current Review Status">
    <vt:lpwstr/>
  </property>
  <property fmtid="{D5CDD505-2E9C-101B-9397-08002B2CF9AE}" pid="7" name="_dlc_policyId">
    <vt:lpwstr>0x010100D2BDFCAFA5BE924EB6239C7F956A43BC|1221755211</vt:lpwstr>
  </property>
  <property fmtid="{D5CDD505-2E9C-101B-9397-08002B2CF9AE}" pid="8" name="Metadata Test">
    <vt:lpwstr>2014-04-07T23:00:00+00:00</vt:lpwstr>
  </property>
  <property fmtid="{D5CDD505-2E9C-101B-9397-08002B2CF9AE}" pid="9" name="ItemRetentionFormula">
    <vt:lpwstr>&lt;formula id="Microsoft.Office.RecordsManagement.PolicyFeatures.Expiration.Formula.BuiltIn"&gt;&lt;number&gt;0&lt;/number&gt;&lt;property&gt;FourMonthRetPol&lt;/property&gt;&lt;propertyId&gt;70177b77-69c7-4b11-9ad4-1f99241d8c94&lt;/propertyId&gt;&lt;period&gt;days&lt;/period&gt;&lt;/formula&gt;</vt:lpwstr>
  </property>
  <property fmtid="{D5CDD505-2E9C-101B-9397-08002B2CF9AE}" pid="10" name="WorkflowChangePath">
    <vt:lpwstr>e5fd08c7-cc03-47a5-b740-0c83097017f0,7;832bf55c-2aa2-4f63-b65a-00a1a440ad46,8;def46316-b7d7-4a42-8b34-884035872006,9;832bf55c-2aa2-4f63-b65a-00a1a440ad46,10;832bf55c-2aa2-4f63-b65a-00a1a440ad46,12;0f8a9df5-af48-4207-b20e-bdec0f8c7655,13;832bf55c-2aa2-4f63-b65a-00a1a440ad46,14;832bf55c-2aa2-4f63-b65a-00a1a440ad46,18;832bf55c-2aa2-4f63-b65a-00a1a440ad46,20;55d98f10-bbda-4165-8d1f-a898a611b129,21;832bf55c-2aa2-4f63-b65a-00a1a440ad46,22;832bf55c-2aa2-4f63-b65a-00a1a440ad46,24;832bf55c-2aa2-4f63-b65a-00a1a440ad46,26;832bf55c-2aa2-4f63-b65a-00a1a440ad46,28;c84e6c8c-754a-4bef-8153-058cdf74e5aa,29;832bf55c-2aa2-4f63-b65a-00a1a440ad46,30;832bf55c-2aa2-4f63-b65a-00a1a440ad46,33;832bf55c-2aa2-4f63-b65a-00a1a440ad46,35;832bf55c-2aa2-4f63-b65a-00a1a440ad46,38;832bf55c-2aa2-4f63-b65a-00a1a440ad46,40;baaa2695-f3d1-4d1d-a05c-5844caed5b8e,41;832bf55c-2aa2-4f63-b65a-00a1a440ad46,42;baaa2695-f3d1-4d1d-a05c-5844caed5b8e,43;832bf55c-2aa2-4f63-b65a-00a1a440ad46,44;61582cde-3f31-49b5-8a5c-f493257e9bc9,45;832bf55c-2aa2-4f63-b65a-00a1a440ad46,46;832bf55c-2aa2-4f63-b65a-00a1a440ad46,48;056f7e6e-3684-4056-95c2-f420af3acad1,49;832bf55c-2aa2-4f63-b65a-00a1a440ad46,50;832bf55c-2aa2-4f63-b65a-00a1a440ad46,54;832bf55c-2aa2-4f63-b65a-00a1a440ad46,57;832bf55c-2aa2-4f63-b65a-00a1a440ad46,59;</vt:lpwstr>
  </property>
</Properties>
</file>