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6E3609A1" w14:textId="77777777" w:rsidR="00EF40B2" w:rsidRDefault="00EF40B2" w:rsidP="002D4098">
      <w:pPr>
        <w:rPr>
          <w:sz w:val="16"/>
          <w:szCs w:val="16"/>
        </w:rPr>
      </w:pPr>
    </w:p>
    <w:p w14:paraId="4A1351A0" w14:textId="06BF9AA9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7E4ED9D4" w:rsidR="257BAF38" w:rsidRDefault="000A2EA9" w:rsidP="257BAF38">
            <w:pPr>
              <w:spacing w:after="0"/>
            </w:pPr>
            <w:r w:rsidRPr="000A2EA9">
              <w:t>https://www.lancashireandsouthcumbriaformulary.nhs.uk/docs/files/LSCMMG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Nemolizumab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(Rybelsus®)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336AC165" w:rsidR="257BAF38" w:rsidRDefault="008B4EE7" w:rsidP="257BAF38">
            <w:pPr>
              <w:spacing w:after="0"/>
            </w:pPr>
            <w:r w:rsidRPr="008B4EE7">
              <w:t>https://www.lancashireandsouthcumbriaformulary.nhs.uk/docs/files/Lipid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6FF0FDAB" w:rsidR="257BAF38" w:rsidRDefault="008B4EE7" w:rsidP="257BAF38">
            <w:pPr>
              <w:spacing w:after="0"/>
            </w:pPr>
            <w:r w:rsidRPr="008B4EE7">
              <w:t>https://www.lancashireandsouthcumbriaformulary.nhs.uk/docs/files/ED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6EAC7B38" w14:textId="31DA4835" w:rsidR="006F1EF5" w:rsidRDefault="006F1EF5" w:rsidP="006F1EF5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063719E">
        <w:rPr>
          <w:sz w:val="24"/>
          <w:szCs w:val="24"/>
        </w:rPr>
        <w:t>.25.</w:t>
      </w:r>
    </w:p>
    <w:p w14:paraId="32AC8E69" w14:textId="77777777" w:rsidR="006F1EF5" w:rsidRDefault="006F1EF5" w:rsidP="00A722E0">
      <w:pPr>
        <w:rPr>
          <w:sz w:val="24"/>
          <w:szCs w:val="24"/>
        </w:rPr>
      </w:pP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Degarelix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https://www.lancashireandsouthcumbriaformulary.nhs.uk/docs/files/2025-142b 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 July 2025 V2.pdf</w:t>
            </w:r>
          </w:p>
        </w:tc>
      </w:tr>
      <w:tr w:rsidR="006F1EF5" w:rsidRPr="006F1EF5" w14:paraId="631CFB6D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257BAF38">
        <w:trPr>
          <w:trHeight w:val="6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Dapoxetine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7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Avapritinib,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Netformulary: Primary Care Management of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lastRenderedPageBreak/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A1326"/>
    <w:rsid w:val="000A2EA9"/>
    <w:rsid w:val="000D1EB0"/>
    <w:rsid w:val="000D62FF"/>
    <w:rsid w:val="000F55BF"/>
    <w:rsid w:val="000F6495"/>
    <w:rsid w:val="00104B65"/>
    <w:rsid w:val="001104CD"/>
    <w:rsid w:val="00116BD2"/>
    <w:rsid w:val="001430CA"/>
    <w:rsid w:val="00145D80"/>
    <w:rsid w:val="00153E6B"/>
    <w:rsid w:val="00154507"/>
    <w:rsid w:val="00154E29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1B69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00A"/>
    <w:rsid w:val="00317EB1"/>
    <w:rsid w:val="00332574"/>
    <w:rsid w:val="00360319"/>
    <w:rsid w:val="00363FEC"/>
    <w:rsid w:val="0036559D"/>
    <w:rsid w:val="0037750D"/>
    <w:rsid w:val="0039598A"/>
    <w:rsid w:val="003C4789"/>
    <w:rsid w:val="003C5D3E"/>
    <w:rsid w:val="003D24D8"/>
    <w:rsid w:val="003D74DE"/>
    <w:rsid w:val="003E318F"/>
    <w:rsid w:val="003E3E6D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26C98"/>
    <w:rsid w:val="00526D1E"/>
    <w:rsid w:val="00526FF7"/>
    <w:rsid w:val="0053303D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4996"/>
    <w:rsid w:val="005D77F8"/>
    <w:rsid w:val="005F0722"/>
    <w:rsid w:val="005F2B50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6459"/>
    <w:rsid w:val="007E101A"/>
    <w:rsid w:val="007F041D"/>
    <w:rsid w:val="007F3C66"/>
    <w:rsid w:val="007F5BAA"/>
    <w:rsid w:val="007F7398"/>
    <w:rsid w:val="00800DD0"/>
    <w:rsid w:val="00812941"/>
    <w:rsid w:val="008266D7"/>
    <w:rsid w:val="00845C20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B4EE7"/>
    <w:rsid w:val="008C4C50"/>
    <w:rsid w:val="008D2958"/>
    <w:rsid w:val="008D7561"/>
    <w:rsid w:val="008E351C"/>
    <w:rsid w:val="008E6B19"/>
    <w:rsid w:val="008E6E50"/>
    <w:rsid w:val="008F4402"/>
    <w:rsid w:val="008F4A48"/>
    <w:rsid w:val="00906364"/>
    <w:rsid w:val="009552A2"/>
    <w:rsid w:val="00962032"/>
    <w:rsid w:val="00965C52"/>
    <w:rsid w:val="00985BEB"/>
    <w:rsid w:val="0099763A"/>
    <w:rsid w:val="009A088F"/>
    <w:rsid w:val="009A2366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74C7"/>
    <w:rsid w:val="00A4056B"/>
    <w:rsid w:val="00A45BCB"/>
    <w:rsid w:val="00A56076"/>
    <w:rsid w:val="00A62BD2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40049"/>
    <w:rsid w:val="00B80FB7"/>
    <w:rsid w:val="00B81E32"/>
    <w:rsid w:val="00B85213"/>
    <w:rsid w:val="00B977BF"/>
    <w:rsid w:val="00B978C6"/>
    <w:rsid w:val="00BA1065"/>
    <w:rsid w:val="00BA5321"/>
    <w:rsid w:val="00BA5F7C"/>
    <w:rsid w:val="00BB13BB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60DD4B"/>
    <w:rsid w:val="07CDF03F"/>
    <w:rsid w:val="07EAED3E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A21901D"/>
    <w:rsid w:val="4A5A116C"/>
    <w:rsid w:val="54EEFFE1"/>
    <w:rsid w:val="5A397CD7"/>
    <w:rsid w:val="61387BCC"/>
    <w:rsid w:val="618D2472"/>
    <w:rsid w:val="683540FF"/>
    <w:rsid w:val="76E05127"/>
    <w:rsid w:val="79C77E8F"/>
    <w:rsid w:val="7CE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2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ED%20guideline%20Version%202.4%20April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aad755f9edd6d7007d72b532120a693e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a35992ce92acb52a063be1990b44b9ec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142bea4-9112-413f-8833-ba8fab60b46d"/>
    <ds:schemaRef ds:uri="http://purl.org/dc/terms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621F94-C050-48E5-93E4-FE2166B28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9619</Words>
  <Characters>54830</Characters>
  <Application>Microsoft Office Word</Application>
  <DocSecurity>0</DocSecurity>
  <Lines>456</Lines>
  <Paragraphs>128</Paragraphs>
  <ScaleCrop>false</ScaleCrop>
  <Company/>
  <LinksUpToDate>false</LinksUpToDate>
  <CharactersWithSpaces>64321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GREENWOOD, Rebecca (NHS LANCASHIRE AND SOUTH CUMBRIA INTEGRATED CARE BOARD)</cp:lastModifiedBy>
  <cp:revision>6</cp:revision>
  <dcterms:created xsi:type="dcterms:W3CDTF">2025-10-02T14:35:00Z</dcterms:created>
  <dcterms:modified xsi:type="dcterms:W3CDTF">2025-10-23T13:03:00Z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