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02CC9877" w14:textId="5FB043E2" w:rsidR="00781809" w:rsidRDefault="00781809" w:rsidP="00781809">
      <w:pPr>
        <w:rPr>
          <w:sz w:val="16"/>
          <w:szCs w:val="16"/>
        </w:rPr>
      </w:pPr>
    </w:p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https://www.lancashireandsouthcumbriaformulary.nhs.uk/docs/files/Denosumab 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r w:rsidRPr="00B91680">
              <w:t>Inclisiran</w:t>
            </w:r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sectPr w:rsidR="00E12678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60B8"/>
    <w:rsid w:val="00116559"/>
    <w:rsid w:val="00116BD2"/>
    <w:rsid w:val="00140C00"/>
    <w:rsid w:val="00145D80"/>
    <w:rsid w:val="0015308B"/>
    <w:rsid w:val="00153E6B"/>
    <w:rsid w:val="00154507"/>
    <w:rsid w:val="00154E29"/>
    <w:rsid w:val="001553E0"/>
    <w:rsid w:val="00172BBE"/>
    <w:rsid w:val="00173E10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71515"/>
    <w:rsid w:val="002771BD"/>
    <w:rsid w:val="00277A65"/>
    <w:rsid w:val="00291D50"/>
    <w:rsid w:val="00292F8B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6AE6"/>
    <w:rsid w:val="0031700A"/>
    <w:rsid w:val="00317EB1"/>
    <w:rsid w:val="00332574"/>
    <w:rsid w:val="00344DC9"/>
    <w:rsid w:val="00344FA0"/>
    <w:rsid w:val="0035059B"/>
    <w:rsid w:val="00360319"/>
    <w:rsid w:val="00360AF0"/>
    <w:rsid w:val="00363FEC"/>
    <w:rsid w:val="0036559D"/>
    <w:rsid w:val="00375C31"/>
    <w:rsid w:val="0037750D"/>
    <w:rsid w:val="0039598A"/>
    <w:rsid w:val="003B63B3"/>
    <w:rsid w:val="003C4789"/>
    <w:rsid w:val="003C5D3E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138E6"/>
    <w:rsid w:val="004277CC"/>
    <w:rsid w:val="00430772"/>
    <w:rsid w:val="0043213D"/>
    <w:rsid w:val="00435A83"/>
    <w:rsid w:val="00445A29"/>
    <w:rsid w:val="004460C9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7614"/>
    <w:rsid w:val="00682108"/>
    <w:rsid w:val="00682169"/>
    <w:rsid w:val="00693F04"/>
    <w:rsid w:val="006970D5"/>
    <w:rsid w:val="0069776F"/>
    <w:rsid w:val="006A5301"/>
    <w:rsid w:val="006B291E"/>
    <w:rsid w:val="006B3D73"/>
    <w:rsid w:val="006B496A"/>
    <w:rsid w:val="006C1E65"/>
    <w:rsid w:val="006C4ACA"/>
    <w:rsid w:val="006D58BA"/>
    <w:rsid w:val="006E77F1"/>
    <w:rsid w:val="006E78EA"/>
    <w:rsid w:val="006F1EF5"/>
    <w:rsid w:val="007005FA"/>
    <w:rsid w:val="00707419"/>
    <w:rsid w:val="00714B80"/>
    <w:rsid w:val="0071650D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398"/>
    <w:rsid w:val="00800DD0"/>
    <w:rsid w:val="00800E86"/>
    <w:rsid w:val="00812941"/>
    <w:rsid w:val="008232DF"/>
    <w:rsid w:val="00823788"/>
    <w:rsid w:val="008266D7"/>
    <w:rsid w:val="008312B9"/>
    <w:rsid w:val="00836BD7"/>
    <w:rsid w:val="00837EE9"/>
    <w:rsid w:val="00844DB9"/>
    <w:rsid w:val="00845C20"/>
    <w:rsid w:val="0085220F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35A2"/>
    <w:rsid w:val="00906364"/>
    <w:rsid w:val="009146BA"/>
    <w:rsid w:val="00930348"/>
    <w:rsid w:val="00935B64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CE4F7A"/>
    <w:rsid w:val="00D20A06"/>
    <w:rsid w:val="00D404B0"/>
    <w:rsid w:val="00D4382F"/>
    <w:rsid w:val="00D45772"/>
    <w:rsid w:val="00D55A43"/>
    <w:rsid w:val="00D57787"/>
    <w:rsid w:val="00D765AF"/>
    <w:rsid w:val="00D9041B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6AB"/>
    <w:rsid w:val="00F25C5C"/>
    <w:rsid w:val="00F25F9F"/>
    <w:rsid w:val="00F4219D"/>
    <w:rsid w:val="00F44FFD"/>
    <w:rsid w:val="00F56D4C"/>
    <w:rsid w:val="00F6548E"/>
    <w:rsid w:val="00F73FF3"/>
    <w:rsid w:val="00F864AF"/>
    <w:rsid w:val="00F94DD4"/>
    <w:rsid w:val="00FA3B8D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47</Pages>
  <Words>9006</Words>
  <Characters>51339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26</cp:revision>
  <dcterms:created xsi:type="dcterms:W3CDTF">2026-03-19T09:53:00Z</dcterms:created>
  <dcterms:modified xsi:type="dcterms:W3CDTF">2026-03-23T11:06:00Z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