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31F4C00C" w14:textId="77777777" w:rsidR="00E935E5" w:rsidRDefault="00E935E5" w:rsidP="00721034">
      <w:pPr>
        <w:rPr>
          <w:sz w:val="24"/>
          <w:szCs w:val="24"/>
        </w:rPr>
      </w:pPr>
    </w:p>
    <w:p w14:paraId="4509FA50" w14:textId="77777777" w:rsidR="00E935E5" w:rsidRDefault="00E935E5" w:rsidP="00721034">
      <w:pPr>
        <w:rPr>
          <w:sz w:val="24"/>
          <w:szCs w:val="24"/>
        </w:rPr>
      </w:pPr>
    </w:p>
    <w:p w14:paraId="58F5F5AF" w14:textId="15785963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</w:t>
      </w:r>
      <w:r>
        <w:rPr>
          <w:sz w:val="24"/>
          <w:szCs w:val="24"/>
        </w:rPr>
        <w:t xml:space="preserve"> 2026:</w:t>
      </w:r>
    </w:p>
    <w:p w14:paraId="6EDF0E7E" w14:textId="376A037E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.03.26 and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.0</w:t>
      </w:r>
      <w:r>
        <w:rPr>
          <w:sz w:val="24"/>
          <w:szCs w:val="24"/>
        </w:rPr>
        <w:t>4</w:t>
      </w:r>
      <w:r>
        <w:rPr>
          <w:sz w:val="24"/>
          <w:szCs w:val="24"/>
        </w:rPr>
        <w:t>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E935E5" w:rsidRPr="00E935E5" w14:paraId="41F72955" w14:textId="77777777" w:rsidTr="00E935E5">
        <w:trPr>
          <w:trHeight w:val="12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A7201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869D97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8B38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EB02E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0DB23C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935E5" w:rsidRPr="00E935E5" w14:paraId="7ED2CFB2" w14:textId="77777777" w:rsidTr="00E935E5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7E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(High dose) prescribing for chronic non-cancer pain: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2E79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AA1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9E1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74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https://www.lancashireandsouthcumbriaformulary.nhs.uk/docs/files/High dose morphine in chronic non-cancer pain position statement - V1.1 Mar 26 .pdf</w:t>
            </w:r>
          </w:p>
        </w:tc>
      </w:tr>
      <w:tr w:rsidR="00E935E5" w:rsidRPr="00E935E5" w14:paraId="43016ACC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34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LSCMMG New Guidance Application 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537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1F1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BE0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20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Guidance Application Form v1.1.docx</w:t>
            </w:r>
          </w:p>
        </w:tc>
      </w:tr>
      <w:tr w:rsidR="00E935E5" w:rsidRPr="00E935E5" w14:paraId="512B5414" w14:textId="77777777" w:rsidTr="00E935E5">
        <w:trPr>
          <w:trHeight w:val="12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1C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5E5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Hypogonadism, </w:t>
            </w: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postmenopause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4F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10B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D2D7" w14:textId="363B5538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74FAD2A8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522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95D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in diabetic retinopathy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20A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678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5ADF" w14:textId="1D4118D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6A2904D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795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PJP prophylaxis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86E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PJP prophylaxis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EBC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F5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939" w14:textId="6561CAB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94900E9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B45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Kay-Cee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35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06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701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F18" w14:textId="73AB931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30BD39A3" w14:textId="77777777" w:rsidTr="00E935E5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D8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NHSE pausing prescribing of trans hormone therapy for under 18s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7E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Gender dysphoria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A2D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389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EA31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 female gender dysphoria prescribing information sheet.pdf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https://www.lancashireandsouthcumbriaformulary.nhs.uk/docs/files/Trans male gender dysphoria prescribing information sheet.pdf</w:t>
            </w:r>
          </w:p>
        </w:tc>
      </w:tr>
      <w:tr w:rsidR="00E935E5" w:rsidRPr="00E935E5" w14:paraId="22F25F9F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1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Low Molecular Weight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Heparins (LMWHs)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Summary Prescribing Guide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3E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6E0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C11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C59" w14:textId="2AD4B69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10FB2F85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0FB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medicines request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6E65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1C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F59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9F8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Medicines Request Form v1.1.docx</w:t>
            </w:r>
          </w:p>
        </w:tc>
      </w:tr>
      <w:tr w:rsidR="00E935E5" w:rsidRPr="00E935E5" w14:paraId="611A30A3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D5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Medicines Colour Classification Change Proposal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7700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B6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E13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67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https://www.lancashireandsouthcumbriaformulary.nhs.uk/docs/files/Medicines RAG Change Request Form v1.1.docx</w:t>
            </w:r>
          </w:p>
        </w:tc>
      </w:tr>
      <w:tr w:rsidR="00E935E5" w:rsidRPr="00E935E5" w14:paraId="2A4DA36A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Eltrombopag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0D7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4B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69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B26" w14:textId="3D6E7FEC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53090FC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E57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Silk and viscose garments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A6EE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CD0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EB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8FFB" w14:textId="532E673C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F9B6446" w14:textId="77777777" w:rsidR="00F62D18" w:rsidRDefault="00F62D18" w:rsidP="0031383C">
      <w:pPr>
        <w:rPr>
          <w:sz w:val="16"/>
          <w:szCs w:val="16"/>
        </w:rPr>
      </w:pPr>
    </w:p>
    <w:p w14:paraId="2FB02379" w14:textId="77777777" w:rsidR="00F62D18" w:rsidRDefault="00F62D18" w:rsidP="0031383C">
      <w:pPr>
        <w:rPr>
          <w:sz w:val="16"/>
          <w:szCs w:val="16"/>
        </w:rPr>
      </w:pPr>
    </w:p>
    <w:p w14:paraId="3DFA418A" w14:textId="4762ADBE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p w14:paraId="239DD2A4" w14:textId="77777777" w:rsidR="00F62D18" w:rsidRDefault="00F62D18" w:rsidP="0031383C">
      <w:pPr>
        <w:rPr>
          <w:sz w:val="24"/>
          <w:szCs w:val="24"/>
        </w:rPr>
      </w:pPr>
    </w:p>
    <w:p w14:paraId="2C8FCFCC" w14:textId="77777777" w:rsidR="00F62D18" w:rsidRDefault="00F62D18" w:rsidP="0031383C">
      <w:pPr>
        <w:rPr>
          <w:sz w:val="24"/>
          <w:szCs w:val="24"/>
        </w:rPr>
      </w:pPr>
    </w:p>
    <w:p w14:paraId="046AAF67" w14:textId="77777777" w:rsidR="00F62D18" w:rsidRDefault="00F62D18" w:rsidP="0031383C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https://www.lancashireandsouthcumbriaformulary.nhs.uk/docs/files/Antipsychotics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https://www.lancashireandsouthcumbriaformulary.nhs.uk/docs/files/Denosumab 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r w:rsidRPr="00B91680">
              <w:t>Inclisiran</w:t>
            </w:r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(Zeyzelf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sectPr w:rsidR="00E12678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60B8"/>
    <w:rsid w:val="00116559"/>
    <w:rsid w:val="00116BD2"/>
    <w:rsid w:val="00140C00"/>
    <w:rsid w:val="00145D80"/>
    <w:rsid w:val="0015308B"/>
    <w:rsid w:val="00153E6B"/>
    <w:rsid w:val="00154507"/>
    <w:rsid w:val="00154E29"/>
    <w:rsid w:val="001553E0"/>
    <w:rsid w:val="0016504F"/>
    <w:rsid w:val="00172BBE"/>
    <w:rsid w:val="00173E10"/>
    <w:rsid w:val="00181BCF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6110C"/>
    <w:rsid w:val="00271515"/>
    <w:rsid w:val="002771BD"/>
    <w:rsid w:val="00277A65"/>
    <w:rsid w:val="00291D50"/>
    <w:rsid w:val="00292F8B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FEC"/>
    <w:rsid w:val="0036559D"/>
    <w:rsid w:val="00375C31"/>
    <w:rsid w:val="0037750D"/>
    <w:rsid w:val="0039598A"/>
    <w:rsid w:val="003B63B3"/>
    <w:rsid w:val="003C4789"/>
    <w:rsid w:val="003C5D3E"/>
    <w:rsid w:val="003C7D8A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138E6"/>
    <w:rsid w:val="004277CC"/>
    <w:rsid w:val="00430772"/>
    <w:rsid w:val="0043213D"/>
    <w:rsid w:val="00435A83"/>
    <w:rsid w:val="00445A29"/>
    <w:rsid w:val="004460C9"/>
    <w:rsid w:val="00446D8A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50AC"/>
    <w:rsid w:val="00657614"/>
    <w:rsid w:val="00682108"/>
    <w:rsid w:val="00682169"/>
    <w:rsid w:val="00693F04"/>
    <w:rsid w:val="006970D5"/>
    <w:rsid w:val="0069776F"/>
    <w:rsid w:val="006A5301"/>
    <w:rsid w:val="006B291E"/>
    <w:rsid w:val="006B3D73"/>
    <w:rsid w:val="006B496A"/>
    <w:rsid w:val="006C1E65"/>
    <w:rsid w:val="006C4ACA"/>
    <w:rsid w:val="006D58BA"/>
    <w:rsid w:val="006E77F1"/>
    <w:rsid w:val="006E78EA"/>
    <w:rsid w:val="006F1EF5"/>
    <w:rsid w:val="007005FA"/>
    <w:rsid w:val="00707419"/>
    <w:rsid w:val="00714B80"/>
    <w:rsid w:val="0071650D"/>
    <w:rsid w:val="00721034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398"/>
    <w:rsid w:val="00800DD0"/>
    <w:rsid w:val="00800E86"/>
    <w:rsid w:val="00812941"/>
    <w:rsid w:val="00813A32"/>
    <w:rsid w:val="008232DF"/>
    <w:rsid w:val="00823788"/>
    <w:rsid w:val="008266D7"/>
    <w:rsid w:val="008312B9"/>
    <w:rsid w:val="00836BD7"/>
    <w:rsid w:val="00837EE9"/>
    <w:rsid w:val="00844DB9"/>
    <w:rsid w:val="00845C20"/>
    <w:rsid w:val="0085220F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35A2"/>
    <w:rsid w:val="00906364"/>
    <w:rsid w:val="009146BA"/>
    <w:rsid w:val="00930348"/>
    <w:rsid w:val="00935B64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045A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CE4F7A"/>
    <w:rsid w:val="00D20A06"/>
    <w:rsid w:val="00D404B0"/>
    <w:rsid w:val="00D4382F"/>
    <w:rsid w:val="00D45772"/>
    <w:rsid w:val="00D55A43"/>
    <w:rsid w:val="00D57787"/>
    <w:rsid w:val="00D765AF"/>
    <w:rsid w:val="00D9041B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935E5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6AB"/>
    <w:rsid w:val="00F25C5C"/>
    <w:rsid w:val="00F25F9F"/>
    <w:rsid w:val="00F4219D"/>
    <w:rsid w:val="00F44FFD"/>
    <w:rsid w:val="00F56D4C"/>
    <w:rsid w:val="00F62D18"/>
    <w:rsid w:val="00F6548E"/>
    <w:rsid w:val="00F73FF3"/>
    <w:rsid w:val="00F864AF"/>
    <w:rsid w:val="00F94DD4"/>
    <w:rsid w:val="00FA3B8D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9514</Words>
  <Characters>54234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5</cp:revision>
  <dcterms:created xsi:type="dcterms:W3CDTF">2026-04-20T13:31:00Z</dcterms:created>
  <dcterms:modified xsi:type="dcterms:W3CDTF">2026-04-20T13:38:00Z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